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FD" w:rsidRPr="00F222BF" w:rsidRDefault="006D7DFD" w:rsidP="006D7DFD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222BF">
        <w:rPr>
          <w:rFonts w:asciiTheme="majorHAnsi" w:hAnsiTheme="majorHAnsi" w:cstheme="majorHAnsi"/>
          <w:b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6690B9F" wp14:editId="26EF9440">
                <wp:extent cx="5760720" cy="1055833"/>
                <wp:effectExtent l="0" t="0" r="0" b="0"/>
                <wp:docPr id="12" name="Zone de texte 12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558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64"/>
                              <w:gridCol w:w="2313"/>
                            </w:tblGrid>
                            <w:tr w:rsidR="006D7DFD" w:rsidTr="007602C5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230" w:type="dxa"/>
                                  <w:shd w:val="clear" w:color="auto" w:fill="EBEBEB"/>
                                  <w:vAlign w:val="center"/>
                                </w:tcPr>
                                <w:p w:rsidR="006D7DFD" w:rsidRDefault="006D7DFD" w:rsidP="007602C5">
                                  <w:pP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7C4C0C"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 xml:space="preserve">PLUi de la Communauté </w:t>
                                  </w: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des Communes Giennoises</w:t>
                                  </w:r>
                                </w:p>
                                <w:p w:rsidR="006D7DFD" w:rsidRPr="00F3560C" w:rsidRDefault="006D7DFD" w:rsidP="007602C5">
                                  <w:pPr>
                                    <w:spacing w:line="240" w:lineRule="auto"/>
                                    <w:rPr>
                                      <w:small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29 novembre</w:t>
                                  </w:r>
                                  <w:r w:rsidRPr="00F3560C">
                                    <w:rPr>
                                      <w:small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 2018</w:t>
                                  </w:r>
                                </w:p>
                                <w:p w:rsidR="006D7DFD" w:rsidRPr="007C4C0C" w:rsidRDefault="006D7DFD" w:rsidP="007602C5">
                                  <w:pPr>
                                    <w:spacing w:line="240" w:lineRule="auto"/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4472C4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COTECH – Orientations d’Aménagement et de Programmation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  <w:shd w:val="clear" w:color="auto" w:fill="EBEBEB"/>
                                </w:tcPr>
                                <w:p w:rsidR="006D7DFD" w:rsidRDefault="006D7DFD" w:rsidP="007602C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747FF1" wp14:editId="795D3882">
                                        <wp:extent cx="1565910" cy="1047750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8279" b="94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5897" cy="1054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D7DFD" w:rsidRDefault="006D7DFD" w:rsidP="006D7DFD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690B9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alt="Contact information" style="width:453.6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" fillcolor="#e7e6e6 [3214]" stroked="f" strokeweight=".5pt">
                <v:textbox inset="0,0,0,0">
                  <w:txbxContent>
                    <w:tbl>
                      <w:tblPr>
                        <w:tblW w:w="5000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64"/>
                        <w:gridCol w:w="2313"/>
                      </w:tblGrid>
                      <w:tr w:rsidR="006D7DFD" w:rsidTr="007602C5">
                        <w:trPr>
                          <w:trHeight w:hRule="exact" w:val="1555"/>
                        </w:trPr>
                        <w:tc>
                          <w:tcPr>
                            <w:tcW w:w="7230" w:type="dxa"/>
                            <w:shd w:val="clear" w:color="auto" w:fill="EBEBEB"/>
                            <w:vAlign w:val="center"/>
                          </w:tcPr>
                          <w:p w:rsidR="006D7DFD" w:rsidRDefault="006D7DFD" w:rsidP="007602C5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7C4C0C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PLUi de la Communauté 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des Communes Giennoises</w:t>
                            </w:r>
                          </w:p>
                          <w:p w:rsidR="006D7DFD" w:rsidRPr="00F3560C" w:rsidRDefault="006D7DFD" w:rsidP="007602C5">
                            <w:pPr>
                              <w:spacing w:line="240" w:lineRule="auto"/>
                              <w:rPr>
                                <w:small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4472C4" w:themeColor="accent1"/>
                                <w:sz w:val="24"/>
                                <w:szCs w:val="24"/>
                              </w:rPr>
                              <w:t>29 novembre</w:t>
                            </w:r>
                            <w:r w:rsidRPr="00F3560C">
                              <w:rPr>
                                <w:smallCap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6D7DFD" w:rsidRPr="007C4C0C" w:rsidRDefault="006D7DFD" w:rsidP="007602C5">
                            <w:pPr>
                              <w:spacing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COTECH – Orientations d’Aménagement et de Programmation</w:t>
                            </w:r>
                          </w:p>
                        </w:tc>
                        <w:tc>
                          <w:tcPr>
                            <w:tcW w:w="2471" w:type="dxa"/>
                            <w:shd w:val="clear" w:color="auto" w:fill="EBEBEB"/>
                          </w:tcPr>
                          <w:p w:rsidR="006D7DFD" w:rsidRDefault="006D7DFD" w:rsidP="007602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47FF1" wp14:editId="795D3882">
                                  <wp:extent cx="1565910" cy="10477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279" b="9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897" cy="1054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D7DFD" w:rsidRDefault="006D7DFD" w:rsidP="006D7DFD">
                      <w:pPr>
                        <w:pStyle w:val="Sansinterlign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7893" w:rsidRPr="00F222BF" w:rsidRDefault="00767893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222BF" w:rsidRPr="00F222BF" w:rsidRDefault="00F222BF" w:rsidP="00F222BF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222BF">
        <w:rPr>
          <w:rFonts w:asciiTheme="majorHAnsi" w:hAnsiTheme="majorHAnsi" w:cstheme="majorHAnsi"/>
          <w:b/>
          <w:sz w:val="20"/>
          <w:szCs w:val="20"/>
        </w:rPr>
        <w:t xml:space="preserve">Point sur le </w:t>
      </w:r>
      <w:r w:rsidR="00F14823" w:rsidRPr="00F222BF">
        <w:rPr>
          <w:rFonts w:asciiTheme="majorHAnsi" w:hAnsiTheme="majorHAnsi" w:cstheme="majorHAnsi"/>
          <w:b/>
          <w:sz w:val="20"/>
          <w:szCs w:val="20"/>
        </w:rPr>
        <w:t>calendrier</w:t>
      </w:r>
      <w:r w:rsidRPr="00F222B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222BF" w:rsidRPr="00F222BF" w:rsidRDefault="00F222BF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93D10" w:rsidRPr="00F222BF" w:rsidRDefault="00793693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04/12</w:t>
      </w:r>
      <w:r>
        <w:rPr>
          <w:rFonts w:asciiTheme="majorHAnsi" w:hAnsiTheme="majorHAnsi" w:cstheme="majorHAnsi"/>
          <w:sz w:val="20"/>
          <w:szCs w:val="20"/>
        </w:rPr>
        <w:t xml:space="preserve"> : Réunion de présentation du </w:t>
      </w:r>
      <w:r w:rsidR="00F33450">
        <w:rPr>
          <w:rFonts w:asciiTheme="majorHAnsi" w:hAnsiTheme="majorHAnsi" w:cstheme="majorHAnsi"/>
          <w:sz w:val="20"/>
          <w:szCs w:val="20"/>
        </w:rPr>
        <w:t>zonage</w:t>
      </w:r>
      <w:r>
        <w:rPr>
          <w:rFonts w:asciiTheme="majorHAnsi" w:hAnsiTheme="majorHAnsi" w:cstheme="majorHAnsi"/>
          <w:sz w:val="20"/>
          <w:szCs w:val="20"/>
        </w:rPr>
        <w:t xml:space="preserve"> aux </w:t>
      </w:r>
      <w:r w:rsidR="00393D10" w:rsidRPr="00F222BF">
        <w:rPr>
          <w:rFonts w:asciiTheme="majorHAnsi" w:hAnsiTheme="majorHAnsi" w:cstheme="majorHAnsi"/>
          <w:sz w:val="20"/>
          <w:szCs w:val="20"/>
        </w:rPr>
        <w:t>PPA</w:t>
      </w:r>
    </w:p>
    <w:p w:rsidR="00393D10" w:rsidRPr="00F222BF" w:rsidRDefault="00E6538B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Concertation : </w:t>
      </w:r>
      <w:r w:rsidR="00793693">
        <w:rPr>
          <w:rFonts w:asciiTheme="majorHAnsi" w:hAnsiTheme="majorHAnsi" w:cstheme="majorHAnsi"/>
          <w:sz w:val="20"/>
          <w:szCs w:val="20"/>
        </w:rPr>
        <w:t>les</w:t>
      </w:r>
      <w:r w:rsidRPr="00F222BF">
        <w:rPr>
          <w:rFonts w:asciiTheme="majorHAnsi" w:hAnsiTheme="majorHAnsi" w:cstheme="majorHAnsi"/>
          <w:sz w:val="20"/>
          <w:szCs w:val="20"/>
        </w:rPr>
        <w:t xml:space="preserve"> communes</w:t>
      </w:r>
      <w:r w:rsidR="00793693">
        <w:rPr>
          <w:rFonts w:asciiTheme="majorHAnsi" w:hAnsiTheme="majorHAnsi" w:cstheme="majorHAnsi"/>
          <w:sz w:val="20"/>
          <w:szCs w:val="20"/>
        </w:rPr>
        <w:t xml:space="preserve"> doivent faire leur retour</w:t>
      </w:r>
      <w:r w:rsidRPr="00F222BF">
        <w:rPr>
          <w:rFonts w:asciiTheme="majorHAnsi" w:hAnsiTheme="majorHAnsi" w:cstheme="majorHAnsi"/>
          <w:sz w:val="20"/>
          <w:szCs w:val="20"/>
        </w:rPr>
        <w:t xml:space="preserve"> suite </w:t>
      </w:r>
      <w:r w:rsidR="00793693">
        <w:rPr>
          <w:rFonts w:asciiTheme="majorHAnsi" w:hAnsiTheme="majorHAnsi" w:cstheme="majorHAnsi"/>
          <w:sz w:val="20"/>
          <w:szCs w:val="20"/>
        </w:rPr>
        <w:t>à</w:t>
      </w:r>
      <w:r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793693">
        <w:rPr>
          <w:rFonts w:asciiTheme="majorHAnsi" w:hAnsiTheme="majorHAnsi" w:cstheme="majorHAnsi"/>
          <w:sz w:val="20"/>
          <w:szCs w:val="20"/>
        </w:rPr>
        <w:t>l’</w:t>
      </w:r>
      <w:r w:rsidRPr="00F222BF">
        <w:rPr>
          <w:rFonts w:asciiTheme="majorHAnsi" w:hAnsiTheme="majorHAnsi" w:cstheme="majorHAnsi"/>
          <w:sz w:val="20"/>
          <w:szCs w:val="20"/>
        </w:rPr>
        <w:t>analyse des remarques des administrés (tableau envoyé fin juin aux communes</w:t>
      </w:r>
      <w:r w:rsidR="00793693">
        <w:rPr>
          <w:rFonts w:asciiTheme="majorHAnsi" w:hAnsiTheme="majorHAnsi" w:cstheme="majorHAnsi"/>
          <w:sz w:val="20"/>
          <w:szCs w:val="20"/>
        </w:rPr>
        <w:t xml:space="preserve"> </w:t>
      </w:r>
      <w:r w:rsidRPr="00F222BF">
        <w:rPr>
          <w:rFonts w:asciiTheme="majorHAnsi" w:hAnsiTheme="majorHAnsi" w:cstheme="majorHAnsi"/>
          <w:sz w:val="20"/>
          <w:szCs w:val="20"/>
        </w:rPr>
        <w:t>et relance courant du mois d’octobre).</w:t>
      </w:r>
    </w:p>
    <w:p w:rsidR="00793693" w:rsidRPr="00F222BF" w:rsidRDefault="0088362E" w:rsidP="00793693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Mme LEFEVRE explique que 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le travail est assez bien </w:t>
      </w:r>
      <w:r w:rsidR="00793693">
        <w:rPr>
          <w:rFonts w:asciiTheme="majorHAnsi" w:hAnsiTheme="majorHAnsi" w:cstheme="majorHAnsi"/>
          <w:sz w:val="20"/>
          <w:szCs w:val="20"/>
        </w:rPr>
        <w:t>finalisé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 sur le zonage et</w:t>
      </w:r>
      <w:r w:rsidR="00793693">
        <w:rPr>
          <w:rFonts w:asciiTheme="majorHAnsi" w:hAnsiTheme="majorHAnsi" w:cstheme="majorHAnsi"/>
          <w:sz w:val="20"/>
          <w:szCs w:val="20"/>
        </w:rPr>
        <w:t xml:space="preserve"> le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 règlement</w:t>
      </w:r>
      <w:r w:rsidR="00793693">
        <w:rPr>
          <w:rFonts w:asciiTheme="majorHAnsi" w:hAnsiTheme="majorHAnsi" w:cstheme="majorHAnsi"/>
          <w:sz w:val="20"/>
          <w:szCs w:val="20"/>
        </w:rPr>
        <w:t>. Cependant sur la ville de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 Gien</w:t>
      </w:r>
      <w:r w:rsidR="00793693">
        <w:rPr>
          <w:rFonts w:asciiTheme="majorHAnsi" w:hAnsiTheme="majorHAnsi" w:cstheme="majorHAnsi"/>
          <w:sz w:val="20"/>
          <w:szCs w:val="20"/>
        </w:rPr>
        <w:t xml:space="preserve">, </w:t>
      </w:r>
      <w:r w:rsidR="00F33450">
        <w:rPr>
          <w:rFonts w:asciiTheme="majorHAnsi" w:hAnsiTheme="majorHAnsi" w:cstheme="majorHAnsi"/>
          <w:sz w:val="20"/>
          <w:szCs w:val="20"/>
        </w:rPr>
        <w:t>trois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 réunions vont être</w:t>
      </w:r>
      <w:r w:rsidR="00F33450">
        <w:rPr>
          <w:rFonts w:asciiTheme="majorHAnsi" w:hAnsiTheme="majorHAnsi" w:cstheme="majorHAnsi"/>
          <w:sz w:val="20"/>
          <w:szCs w:val="20"/>
        </w:rPr>
        <w:t xml:space="preserve"> organisées</w:t>
      </w:r>
      <w:r w:rsidR="00793693">
        <w:rPr>
          <w:rFonts w:asciiTheme="majorHAnsi" w:hAnsiTheme="majorHAnsi" w:cstheme="majorHAnsi"/>
          <w:sz w:val="20"/>
          <w:szCs w:val="20"/>
        </w:rPr>
        <w:t>. U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ne réunion sera </w:t>
      </w:r>
      <w:r w:rsidR="00793693">
        <w:rPr>
          <w:rFonts w:asciiTheme="majorHAnsi" w:hAnsiTheme="majorHAnsi" w:cstheme="majorHAnsi"/>
          <w:sz w:val="20"/>
          <w:szCs w:val="20"/>
        </w:rPr>
        <w:t>prévue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 avec les élus communautaires pour faire une synthèse.</w:t>
      </w:r>
      <w:r w:rsidR="00793693" w:rsidRPr="00793693">
        <w:rPr>
          <w:rFonts w:asciiTheme="majorHAnsi" w:hAnsiTheme="majorHAnsi" w:cstheme="majorHAnsi"/>
          <w:sz w:val="20"/>
          <w:szCs w:val="20"/>
        </w:rPr>
        <w:t xml:space="preserve"> </w:t>
      </w:r>
      <w:r w:rsidR="00793693" w:rsidRPr="00F222BF">
        <w:rPr>
          <w:rFonts w:asciiTheme="majorHAnsi" w:hAnsiTheme="majorHAnsi" w:cstheme="majorHAnsi"/>
          <w:sz w:val="20"/>
          <w:szCs w:val="20"/>
        </w:rPr>
        <w:t xml:space="preserve">Mr BOULEAU appuie </w:t>
      </w:r>
      <w:r w:rsidR="00793693">
        <w:rPr>
          <w:rFonts w:asciiTheme="majorHAnsi" w:hAnsiTheme="majorHAnsi" w:cstheme="majorHAnsi"/>
          <w:sz w:val="20"/>
          <w:szCs w:val="20"/>
        </w:rPr>
        <w:t>les propos de</w:t>
      </w:r>
      <w:r w:rsidR="00793693" w:rsidRPr="00F222BF">
        <w:rPr>
          <w:rFonts w:asciiTheme="majorHAnsi" w:hAnsiTheme="majorHAnsi" w:cstheme="majorHAnsi"/>
          <w:sz w:val="20"/>
          <w:szCs w:val="20"/>
        </w:rPr>
        <w:t xml:space="preserve"> GEOMEXPERT, la ville de Gien est en manque d’outils pour remodeler son hyper centre.</w:t>
      </w:r>
    </w:p>
    <w:p w:rsidR="00E305FA" w:rsidRPr="00F222BF" w:rsidRDefault="00793693" w:rsidP="00793693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="00E305FA" w:rsidRPr="00F222BF">
        <w:rPr>
          <w:rFonts w:asciiTheme="majorHAnsi" w:hAnsiTheme="majorHAnsi" w:cstheme="majorHAnsi"/>
          <w:sz w:val="20"/>
          <w:szCs w:val="20"/>
        </w:rPr>
        <w:t xml:space="preserve">’arrêt </w:t>
      </w:r>
      <w:r>
        <w:rPr>
          <w:rFonts w:asciiTheme="majorHAnsi" w:hAnsiTheme="majorHAnsi" w:cstheme="majorHAnsi"/>
          <w:sz w:val="20"/>
          <w:szCs w:val="20"/>
        </w:rPr>
        <w:t xml:space="preserve">du PLU </w:t>
      </w:r>
      <w:r w:rsidR="00E305FA" w:rsidRPr="00F222BF">
        <w:rPr>
          <w:rFonts w:asciiTheme="majorHAnsi" w:hAnsiTheme="majorHAnsi" w:cstheme="majorHAnsi"/>
          <w:sz w:val="20"/>
          <w:szCs w:val="20"/>
        </w:rPr>
        <w:t>a été décalé à fin février.</w:t>
      </w:r>
    </w:p>
    <w:p w:rsidR="0076488F" w:rsidRDefault="0076488F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D3448" w:rsidRPr="004D3448" w:rsidRDefault="004D3448" w:rsidP="004D3448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D3448">
        <w:rPr>
          <w:rFonts w:asciiTheme="majorHAnsi" w:hAnsiTheme="majorHAnsi" w:cstheme="majorHAnsi"/>
          <w:b/>
          <w:sz w:val="20"/>
          <w:szCs w:val="20"/>
        </w:rPr>
        <w:t>Point sur la compétence Commerce de l’intercommunalité</w:t>
      </w:r>
    </w:p>
    <w:p w:rsidR="004D3448" w:rsidRDefault="004D344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77FBA" w:rsidRPr="00F222BF" w:rsidRDefault="00C20C5F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Mr BOULEAU explique que la réunion d’aujourd’hui doit également prévoir une réflexion sur le commerce </w:t>
      </w:r>
      <w:r w:rsidR="00E76F4D">
        <w:rPr>
          <w:rFonts w:asciiTheme="majorHAnsi" w:hAnsiTheme="majorHAnsi" w:cstheme="majorHAnsi"/>
          <w:sz w:val="20"/>
          <w:szCs w:val="20"/>
        </w:rPr>
        <w:t xml:space="preserve">à l’échelle de </w:t>
      </w:r>
      <w:r w:rsidRPr="00F222BF">
        <w:rPr>
          <w:rFonts w:asciiTheme="majorHAnsi" w:hAnsiTheme="majorHAnsi" w:cstheme="majorHAnsi"/>
          <w:sz w:val="20"/>
          <w:szCs w:val="20"/>
        </w:rPr>
        <w:t>l’intercommunalité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. La </w:t>
      </w:r>
      <w:r w:rsidR="00E76F4D" w:rsidRPr="00F222BF">
        <w:rPr>
          <w:rFonts w:asciiTheme="majorHAnsi" w:hAnsiTheme="majorHAnsi" w:cstheme="majorHAnsi"/>
          <w:sz w:val="20"/>
          <w:szCs w:val="20"/>
        </w:rPr>
        <w:t>C</w:t>
      </w:r>
      <w:r w:rsidR="00E76F4D">
        <w:rPr>
          <w:rFonts w:asciiTheme="majorHAnsi" w:hAnsiTheme="majorHAnsi" w:cstheme="majorHAnsi"/>
          <w:sz w:val="20"/>
          <w:szCs w:val="20"/>
        </w:rPr>
        <w:t>ommunauté des communes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 a</w:t>
      </w:r>
      <w:r w:rsidR="00E76F4D">
        <w:rPr>
          <w:rFonts w:asciiTheme="majorHAnsi" w:hAnsiTheme="majorHAnsi" w:cstheme="majorHAnsi"/>
          <w:sz w:val="20"/>
          <w:szCs w:val="20"/>
        </w:rPr>
        <w:t xml:space="preserve"> pris de droit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 la compétence </w:t>
      </w:r>
      <w:r w:rsidR="00E76F4D">
        <w:rPr>
          <w:rFonts w:asciiTheme="majorHAnsi" w:hAnsiTheme="majorHAnsi" w:cstheme="majorHAnsi"/>
          <w:sz w:val="20"/>
          <w:szCs w:val="20"/>
        </w:rPr>
        <w:t>« </w:t>
      </w:r>
      <w:r w:rsidR="0076488F" w:rsidRPr="00F222BF">
        <w:rPr>
          <w:rFonts w:asciiTheme="majorHAnsi" w:hAnsiTheme="majorHAnsi" w:cstheme="majorHAnsi"/>
          <w:sz w:val="20"/>
          <w:szCs w:val="20"/>
        </w:rPr>
        <w:t>commerces</w:t>
      </w:r>
      <w:r w:rsidR="00E76F4D">
        <w:rPr>
          <w:rFonts w:asciiTheme="majorHAnsi" w:hAnsiTheme="majorHAnsi" w:cstheme="majorHAnsi"/>
          <w:sz w:val="20"/>
          <w:szCs w:val="20"/>
        </w:rPr>
        <w:t> »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 or </w:t>
      </w:r>
      <w:r w:rsidR="00E76F4D">
        <w:rPr>
          <w:rFonts w:asciiTheme="majorHAnsi" w:hAnsiTheme="majorHAnsi" w:cstheme="majorHAnsi"/>
          <w:sz w:val="20"/>
          <w:szCs w:val="20"/>
        </w:rPr>
        <w:t>il faut, avant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E76F4D">
        <w:rPr>
          <w:rFonts w:asciiTheme="majorHAnsi" w:hAnsiTheme="majorHAnsi" w:cstheme="majorHAnsi"/>
          <w:sz w:val="20"/>
          <w:szCs w:val="20"/>
        </w:rPr>
        <w:t xml:space="preserve">le 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31 décembre, </w:t>
      </w:r>
      <w:r w:rsidR="00E76F4D">
        <w:rPr>
          <w:rFonts w:asciiTheme="majorHAnsi" w:hAnsiTheme="majorHAnsi" w:cstheme="majorHAnsi"/>
          <w:sz w:val="20"/>
          <w:szCs w:val="20"/>
        </w:rPr>
        <w:t xml:space="preserve">signer </w:t>
      </w:r>
      <w:r w:rsidR="0076488F" w:rsidRPr="00F222BF">
        <w:rPr>
          <w:rFonts w:asciiTheme="majorHAnsi" w:hAnsiTheme="majorHAnsi" w:cstheme="majorHAnsi"/>
          <w:sz w:val="20"/>
          <w:szCs w:val="20"/>
        </w:rPr>
        <w:t xml:space="preserve">une convention </w:t>
      </w:r>
      <w:r w:rsidR="00E76F4D">
        <w:rPr>
          <w:rFonts w:asciiTheme="majorHAnsi" w:hAnsiTheme="majorHAnsi" w:cstheme="majorHAnsi"/>
          <w:sz w:val="20"/>
          <w:szCs w:val="20"/>
        </w:rPr>
        <w:t>afin d</w:t>
      </w:r>
      <w:r w:rsidR="00F33450">
        <w:rPr>
          <w:rFonts w:asciiTheme="majorHAnsi" w:hAnsiTheme="majorHAnsi" w:cstheme="majorHAnsi"/>
          <w:sz w:val="20"/>
          <w:szCs w:val="20"/>
        </w:rPr>
        <w:t>’</w:t>
      </w:r>
      <w:r w:rsidR="00E76F4D">
        <w:rPr>
          <w:rFonts w:asciiTheme="majorHAnsi" w:hAnsiTheme="majorHAnsi" w:cstheme="majorHAnsi"/>
          <w:sz w:val="20"/>
          <w:szCs w:val="20"/>
        </w:rPr>
        <w:t>e</w:t>
      </w:r>
      <w:r w:rsidR="00F33450">
        <w:rPr>
          <w:rFonts w:asciiTheme="majorHAnsi" w:hAnsiTheme="majorHAnsi" w:cstheme="majorHAnsi"/>
          <w:sz w:val="20"/>
          <w:szCs w:val="20"/>
        </w:rPr>
        <w:t>n</w:t>
      </w:r>
      <w:r w:rsidR="00E76F4D">
        <w:rPr>
          <w:rFonts w:asciiTheme="majorHAnsi" w:hAnsiTheme="majorHAnsi" w:cstheme="majorHAnsi"/>
          <w:sz w:val="20"/>
          <w:szCs w:val="20"/>
        </w:rPr>
        <w:t xml:space="preserve"> préciser les modalités. Ainsi, i</w:t>
      </w:r>
      <w:r w:rsidR="00377FBA" w:rsidRPr="00F222BF">
        <w:rPr>
          <w:rFonts w:asciiTheme="majorHAnsi" w:hAnsiTheme="majorHAnsi" w:cstheme="majorHAnsi"/>
          <w:sz w:val="20"/>
          <w:szCs w:val="20"/>
        </w:rPr>
        <w:t xml:space="preserve">l détaille les propositions </w:t>
      </w:r>
      <w:r w:rsidR="00E76F4D">
        <w:rPr>
          <w:rFonts w:asciiTheme="majorHAnsi" w:hAnsiTheme="majorHAnsi" w:cstheme="majorHAnsi"/>
          <w:sz w:val="20"/>
          <w:szCs w:val="20"/>
        </w:rPr>
        <w:t>pour</w:t>
      </w:r>
      <w:r w:rsidR="00E86A7C" w:rsidRPr="00F222BF">
        <w:rPr>
          <w:rFonts w:asciiTheme="majorHAnsi" w:hAnsiTheme="majorHAnsi" w:cstheme="majorHAnsi"/>
          <w:sz w:val="20"/>
          <w:szCs w:val="20"/>
        </w:rPr>
        <w:t xml:space="preserve"> l’organisation des</w:t>
      </w:r>
      <w:r w:rsidR="00377FBA" w:rsidRPr="00F222BF">
        <w:rPr>
          <w:rFonts w:asciiTheme="majorHAnsi" w:hAnsiTheme="majorHAnsi" w:cstheme="majorHAnsi"/>
          <w:sz w:val="20"/>
          <w:szCs w:val="20"/>
        </w:rPr>
        <w:t xml:space="preserve"> compétences</w:t>
      </w:r>
      <w:r w:rsidR="00E86A7C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377FBA" w:rsidRPr="00F222BF">
        <w:rPr>
          <w:rFonts w:asciiTheme="majorHAnsi" w:hAnsiTheme="majorHAnsi" w:cstheme="majorHAnsi"/>
          <w:sz w:val="20"/>
          <w:szCs w:val="20"/>
        </w:rPr>
        <w:t>:</w:t>
      </w:r>
    </w:p>
    <w:p w:rsidR="00377FBA" w:rsidRPr="00F222BF" w:rsidRDefault="00E76F4D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Compétences e</w:t>
      </w:r>
      <w:r w:rsidR="00377FBA" w:rsidRPr="00F222BF">
        <w:rPr>
          <w:rFonts w:asciiTheme="majorHAnsi" w:hAnsiTheme="majorHAnsi" w:cstheme="majorHAnsi"/>
          <w:sz w:val="20"/>
          <w:szCs w:val="20"/>
        </w:rPr>
        <w:t>n communes</w:t>
      </w:r>
      <w:r w:rsidR="003605EC">
        <w:rPr>
          <w:rFonts w:asciiTheme="majorHAnsi" w:hAnsiTheme="majorHAnsi" w:cstheme="majorHAnsi"/>
          <w:sz w:val="20"/>
          <w:szCs w:val="20"/>
        </w:rPr>
        <w:t> : principe de</w:t>
      </w:r>
      <w:r w:rsidR="00540A1F" w:rsidRPr="00F222BF">
        <w:rPr>
          <w:rFonts w:asciiTheme="majorHAnsi" w:hAnsiTheme="majorHAnsi" w:cstheme="majorHAnsi"/>
          <w:sz w:val="20"/>
          <w:szCs w:val="20"/>
        </w:rPr>
        <w:t xml:space="preserve"> relation directe de proximité entre le maire et ses commerçants</w:t>
      </w:r>
    </w:p>
    <w:p w:rsidR="00377FBA" w:rsidRPr="00F222BF" w:rsidRDefault="00377FBA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Animation</w:t>
      </w:r>
    </w:p>
    <w:p w:rsidR="00377FBA" w:rsidRPr="00F222BF" w:rsidRDefault="00377FBA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Droit de préemption des commerces</w:t>
      </w:r>
    </w:p>
    <w:p w:rsidR="00377FBA" w:rsidRPr="00F222BF" w:rsidRDefault="00540A1F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Gestion de l’a</w:t>
      </w:r>
      <w:r w:rsidR="00377FBA" w:rsidRPr="00F222BF">
        <w:rPr>
          <w:rFonts w:asciiTheme="majorHAnsi" w:hAnsiTheme="majorHAnsi" w:cstheme="majorHAnsi"/>
          <w:sz w:val="20"/>
          <w:szCs w:val="20"/>
        </w:rPr>
        <w:t>ssociation des commerçants en commune</w:t>
      </w:r>
    </w:p>
    <w:p w:rsidR="00377FBA" w:rsidRPr="00F222BF" w:rsidRDefault="00E76F4D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Compétences e</w:t>
      </w:r>
      <w:r w:rsidRPr="00F222BF">
        <w:rPr>
          <w:rFonts w:asciiTheme="majorHAnsi" w:hAnsiTheme="majorHAnsi" w:cstheme="majorHAnsi"/>
          <w:sz w:val="20"/>
          <w:szCs w:val="20"/>
        </w:rPr>
        <w:t xml:space="preserve">n </w:t>
      </w:r>
      <w:r w:rsidR="00377FBA" w:rsidRPr="00F222BF">
        <w:rPr>
          <w:rFonts w:asciiTheme="majorHAnsi" w:hAnsiTheme="majorHAnsi" w:cstheme="majorHAnsi"/>
          <w:sz w:val="20"/>
          <w:szCs w:val="20"/>
        </w:rPr>
        <w:t>C</w:t>
      </w:r>
      <w:r w:rsidR="0017442B" w:rsidRPr="00F222BF">
        <w:rPr>
          <w:rFonts w:asciiTheme="majorHAnsi" w:hAnsiTheme="majorHAnsi" w:cstheme="majorHAnsi"/>
          <w:sz w:val="20"/>
          <w:szCs w:val="20"/>
        </w:rPr>
        <w:t>ommunauté de</w:t>
      </w:r>
      <w:r w:rsidR="000F1C19" w:rsidRPr="00F222BF">
        <w:rPr>
          <w:rFonts w:asciiTheme="majorHAnsi" w:hAnsiTheme="majorHAnsi" w:cstheme="majorHAnsi"/>
          <w:sz w:val="20"/>
          <w:szCs w:val="20"/>
        </w:rPr>
        <w:t>s</w:t>
      </w:r>
      <w:r w:rsidR="0017442B" w:rsidRPr="00F222BF">
        <w:rPr>
          <w:rFonts w:asciiTheme="majorHAnsi" w:hAnsiTheme="majorHAnsi" w:cstheme="majorHAnsi"/>
          <w:sz w:val="20"/>
          <w:szCs w:val="20"/>
        </w:rPr>
        <w:t xml:space="preserve"> communes</w:t>
      </w:r>
      <w:r w:rsidR="003605EC">
        <w:rPr>
          <w:rFonts w:asciiTheme="majorHAnsi" w:hAnsiTheme="majorHAnsi" w:cstheme="majorHAnsi"/>
          <w:sz w:val="20"/>
          <w:szCs w:val="20"/>
        </w:rPr>
        <w:t> : principe de</w:t>
      </w:r>
      <w:r w:rsidR="00540A1F" w:rsidRPr="00F222BF">
        <w:rPr>
          <w:rFonts w:asciiTheme="majorHAnsi" w:hAnsiTheme="majorHAnsi" w:cstheme="majorHAnsi"/>
          <w:sz w:val="20"/>
          <w:szCs w:val="20"/>
        </w:rPr>
        <w:t xml:space="preserve"> relation administrative et financière</w:t>
      </w:r>
    </w:p>
    <w:p w:rsidR="00377FBA" w:rsidRPr="00F222BF" w:rsidRDefault="00377FBA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Opération vitrines</w:t>
      </w:r>
    </w:p>
    <w:p w:rsidR="00377FBA" w:rsidRPr="00F222BF" w:rsidRDefault="00377FBA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Aide à l’immobilier </w:t>
      </w:r>
    </w:p>
    <w:p w:rsidR="00377FBA" w:rsidRPr="00F222BF" w:rsidRDefault="00540A1F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Aide au m</w:t>
      </w:r>
      <w:r w:rsidR="00377FBA" w:rsidRPr="00F222BF">
        <w:rPr>
          <w:rFonts w:asciiTheme="majorHAnsi" w:hAnsiTheme="majorHAnsi" w:cstheme="majorHAnsi"/>
          <w:sz w:val="20"/>
          <w:szCs w:val="20"/>
        </w:rPr>
        <w:t>obilier</w:t>
      </w:r>
    </w:p>
    <w:p w:rsidR="00A45C34" w:rsidRPr="00F222BF" w:rsidRDefault="00A45C34" w:rsidP="002A0244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67893" w:rsidRPr="00F222BF" w:rsidRDefault="00767893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83D15" w:rsidRPr="004D3448" w:rsidRDefault="004D3448" w:rsidP="004D3448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D3448">
        <w:rPr>
          <w:rFonts w:asciiTheme="majorHAnsi" w:hAnsiTheme="majorHAnsi" w:cstheme="majorHAnsi"/>
          <w:b/>
          <w:sz w:val="20"/>
          <w:szCs w:val="20"/>
        </w:rPr>
        <w:t>Orientations d’Aménagement et de Programmation</w:t>
      </w:r>
      <w:r w:rsidR="004B1DBB">
        <w:rPr>
          <w:rFonts w:asciiTheme="majorHAnsi" w:hAnsiTheme="majorHAnsi" w:cstheme="majorHAnsi"/>
          <w:b/>
          <w:sz w:val="20"/>
          <w:szCs w:val="20"/>
        </w:rPr>
        <w:t xml:space="preserve"> de secteurs</w:t>
      </w:r>
    </w:p>
    <w:p w:rsidR="004D3448" w:rsidRDefault="004D344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40878" w:rsidRPr="00F222BF" w:rsidRDefault="004D344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</w:t>
      </w:r>
      <w:r w:rsidR="00576EB0">
        <w:rPr>
          <w:rFonts w:asciiTheme="majorHAnsi" w:hAnsiTheme="majorHAnsi" w:cstheme="majorHAnsi"/>
          <w:sz w:val="20"/>
          <w:szCs w:val="20"/>
        </w:rPr>
        <w:t xml:space="preserve"> est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76EB0">
        <w:rPr>
          <w:rFonts w:asciiTheme="majorHAnsi" w:hAnsiTheme="majorHAnsi" w:cstheme="majorHAnsi"/>
          <w:sz w:val="20"/>
          <w:szCs w:val="20"/>
        </w:rPr>
        <w:t>à noter</w:t>
      </w:r>
      <w:r w:rsidR="005245F4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576EB0">
        <w:rPr>
          <w:rFonts w:asciiTheme="majorHAnsi" w:hAnsiTheme="majorHAnsi" w:cstheme="majorHAnsi"/>
          <w:sz w:val="20"/>
          <w:szCs w:val="20"/>
        </w:rPr>
        <w:t>que l</w:t>
      </w:r>
      <w:r w:rsidR="002B6112" w:rsidRPr="00F222BF">
        <w:rPr>
          <w:rFonts w:asciiTheme="majorHAnsi" w:hAnsiTheme="majorHAnsi" w:cstheme="majorHAnsi"/>
          <w:sz w:val="20"/>
          <w:szCs w:val="20"/>
        </w:rPr>
        <w:t>e document</w:t>
      </w:r>
      <w:r w:rsidR="00576EB0">
        <w:rPr>
          <w:rFonts w:asciiTheme="majorHAnsi" w:hAnsiTheme="majorHAnsi" w:cstheme="majorHAnsi"/>
          <w:sz w:val="20"/>
          <w:szCs w:val="20"/>
        </w:rPr>
        <w:t xml:space="preserve"> reprenant les OAP</w:t>
      </w:r>
      <w:r w:rsidR="002B6112" w:rsidRPr="00F222BF">
        <w:rPr>
          <w:rFonts w:asciiTheme="majorHAnsi" w:hAnsiTheme="majorHAnsi" w:cstheme="majorHAnsi"/>
          <w:sz w:val="20"/>
          <w:szCs w:val="20"/>
        </w:rPr>
        <w:t xml:space="preserve"> a été transmis par </w:t>
      </w:r>
      <w:r w:rsidR="00576EB0">
        <w:rPr>
          <w:rFonts w:asciiTheme="majorHAnsi" w:hAnsiTheme="majorHAnsi" w:cstheme="majorHAnsi"/>
          <w:sz w:val="20"/>
          <w:szCs w:val="20"/>
        </w:rPr>
        <w:t xml:space="preserve">Mme </w:t>
      </w:r>
      <w:proofErr w:type="spellStart"/>
      <w:r w:rsidR="00576EB0">
        <w:rPr>
          <w:rFonts w:asciiTheme="majorHAnsi" w:hAnsiTheme="majorHAnsi" w:cstheme="majorHAnsi"/>
          <w:sz w:val="20"/>
          <w:szCs w:val="20"/>
        </w:rPr>
        <w:t>Peynot</w:t>
      </w:r>
      <w:proofErr w:type="spellEnd"/>
      <w:r w:rsidR="00576EB0">
        <w:rPr>
          <w:rFonts w:asciiTheme="majorHAnsi" w:hAnsiTheme="majorHAnsi" w:cstheme="majorHAnsi"/>
          <w:sz w:val="20"/>
          <w:szCs w:val="20"/>
        </w:rPr>
        <w:t xml:space="preserve"> aux communes</w:t>
      </w:r>
      <w:r w:rsidR="002B6112" w:rsidRPr="00F222BF">
        <w:rPr>
          <w:rFonts w:asciiTheme="majorHAnsi" w:hAnsiTheme="majorHAnsi" w:cstheme="majorHAnsi"/>
          <w:sz w:val="20"/>
          <w:szCs w:val="20"/>
        </w:rPr>
        <w:t>.</w:t>
      </w:r>
    </w:p>
    <w:p w:rsidR="00240878" w:rsidRPr="00F222BF" w:rsidRDefault="0024087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40878" w:rsidRPr="00F222BF" w:rsidRDefault="00576EB0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Mme LEFEVRE refait un rappel sur la d</w:t>
      </w:r>
      <w:r w:rsidR="002B6112" w:rsidRPr="00F222BF">
        <w:rPr>
          <w:rFonts w:asciiTheme="majorHAnsi" w:hAnsiTheme="majorHAnsi" w:cstheme="majorHAnsi"/>
          <w:sz w:val="20"/>
          <w:szCs w:val="20"/>
        </w:rPr>
        <w:t xml:space="preserve">ifférence </w:t>
      </w:r>
      <w:r>
        <w:rPr>
          <w:rFonts w:asciiTheme="majorHAnsi" w:hAnsiTheme="majorHAnsi" w:cstheme="majorHAnsi"/>
          <w:sz w:val="20"/>
          <w:szCs w:val="20"/>
        </w:rPr>
        <w:t xml:space="preserve">d’un </w:t>
      </w:r>
      <w:r w:rsidR="002B6112" w:rsidRPr="00F222BF">
        <w:rPr>
          <w:rFonts w:asciiTheme="majorHAnsi" w:hAnsiTheme="majorHAnsi" w:cstheme="majorHAnsi"/>
          <w:sz w:val="20"/>
          <w:szCs w:val="20"/>
        </w:rPr>
        <w:t xml:space="preserve">aménagement au fur et à mesure et </w:t>
      </w:r>
      <w:r>
        <w:rPr>
          <w:rFonts w:asciiTheme="majorHAnsi" w:hAnsiTheme="majorHAnsi" w:cstheme="majorHAnsi"/>
          <w:sz w:val="20"/>
          <w:szCs w:val="20"/>
        </w:rPr>
        <w:t xml:space="preserve">d’un aménagement </w:t>
      </w:r>
      <w:r w:rsidR="002B6112" w:rsidRPr="00F222BF">
        <w:rPr>
          <w:rFonts w:asciiTheme="majorHAnsi" w:hAnsiTheme="majorHAnsi" w:cstheme="majorHAnsi"/>
          <w:sz w:val="20"/>
          <w:szCs w:val="20"/>
        </w:rPr>
        <w:t>d’ensemble :</w:t>
      </w:r>
    </w:p>
    <w:p w:rsidR="002B6112" w:rsidRPr="00F222BF" w:rsidRDefault="00576EB0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Aménagement a</w:t>
      </w:r>
      <w:r w:rsidR="002B6112" w:rsidRPr="00F222BF">
        <w:rPr>
          <w:rFonts w:asciiTheme="majorHAnsi" w:hAnsiTheme="majorHAnsi" w:cstheme="majorHAnsi"/>
          <w:sz w:val="20"/>
          <w:szCs w:val="20"/>
        </w:rPr>
        <w:t xml:space="preserve">u fur et à mesure : </w:t>
      </w:r>
      <w:r w:rsidR="005117E1">
        <w:rPr>
          <w:rFonts w:asciiTheme="majorHAnsi" w:hAnsiTheme="majorHAnsi" w:cstheme="majorHAnsi"/>
          <w:sz w:val="20"/>
          <w:szCs w:val="20"/>
        </w:rPr>
        <w:t>les</w:t>
      </w:r>
      <w:r w:rsidR="002B6112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5117E1">
        <w:rPr>
          <w:rFonts w:asciiTheme="majorHAnsi" w:hAnsiTheme="majorHAnsi" w:cstheme="majorHAnsi"/>
          <w:sz w:val="20"/>
          <w:szCs w:val="20"/>
        </w:rPr>
        <w:t>aménagements de la zone</w:t>
      </w:r>
      <w:r w:rsidR="002B6112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5117E1">
        <w:rPr>
          <w:rFonts w:asciiTheme="majorHAnsi" w:hAnsiTheme="majorHAnsi" w:cstheme="majorHAnsi"/>
          <w:sz w:val="20"/>
          <w:szCs w:val="20"/>
        </w:rPr>
        <w:t>peuvent se faire au coup par coup</w:t>
      </w:r>
      <w:r w:rsidR="002B6112" w:rsidRPr="00F222BF">
        <w:rPr>
          <w:rFonts w:asciiTheme="majorHAnsi" w:hAnsiTheme="majorHAnsi" w:cstheme="majorHAnsi"/>
          <w:sz w:val="20"/>
          <w:szCs w:val="20"/>
        </w:rPr>
        <w:t>.</w:t>
      </w:r>
    </w:p>
    <w:p w:rsidR="002B6112" w:rsidRDefault="00576EB0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117E1">
        <w:rPr>
          <w:rFonts w:asciiTheme="majorHAnsi" w:hAnsiTheme="majorHAnsi" w:cstheme="majorHAnsi"/>
          <w:sz w:val="20"/>
          <w:szCs w:val="20"/>
        </w:rPr>
        <w:t>Aménagement d’e</w:t>
      </w:r>
      <w:r w:rsidR="002B6112" w:rsidRPr="005117E1">
        <w:rPr>
          <w:rFonts w:asciiTheme="majorHAnsi" w:hAnsiTheme="majorHAnsi" w:cstheme="majorHAnsi"/>
          <w:sz w:val="20"/>
          <w:szCs w:val="20"/>
        </w:rPr>
        <w:t xml:space="preserve">nsemble : </w:t>
      </w:r>
      <w:r w:rsidR="005117E1" w:rsidRPr="005117E1">
        <w:rPr>
          <w:rFonts w:asciiTheme="majorHAnsi" w:hAnsiTheme="majorHAnsi" w:cstheme="majorHAnsi"/>
          <w:sz w:val="20"/>
          <w:szCs w:val="20"/>
        </w:rPr>
        <w:t xml:space="preserve">la </w:t>
      </w:r>
      <w:r w:rsidR="002B6112" w:rsidRPr="005117E1">
        <w:rPr>
          <w:rFonts w:asciiTheme="majorHAnsi" w:hAnsiTheme="majorHAnsi" w:cstheme="majorHAnsi"/>
          <w:sz w:val="20"/>
          <w:szCs w:val="20"/>
        </w:rPr>
        <w:t xml:space="preserve">demande d’autorisation d’urbanisme </w:t>
      </w:r>
      <w:r w:rsidR="005117E1" w:rsidRPr="005117E1">
        <w:rPr>
          <w:rFonts w:asciiTheme="majorHAnsi" w:hAnsiTheme="majorHAnsi" w:cstheme="majorHAnsi"/>
          <w:sz w:val="20"/>
          <w:szCs w:val="20"/>
        </w:rPr>
        <w:t xml:space="preserve">devra </w:t>
      </w:r>
      <w:r w:rsidR="002B6112" w:rsidRPr="005117E1">
        <w:rPr>
          <w:rFonts w:asciiTheme="majorHAnsi" w:hAnsiTheme="majorHAnsi" w:cstheme="majorHAnsi"/>
          <w:sz w:val="20"/>
          <w:szCs w:val="20"/>
        </w:rPr>
        <w:t xml:space="preserve">porter sur l’ensemble du périmètre du projet. </w:t>
      </w:r>
    </w:p>
    <w:p w:rsidR="005117E1" w:rsidRPr="005117E1" w:rsidRDefault="005117E1" w:rsidP="005117E1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D728C" w:rsidRDefault="002B6112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GEOMEXPERT passe en revu</w:t>
      </w:r>
      <w:r w:rsidR="005117E1">
        <w:rPr>
          <w:rFonts w:asciiTheme="majorHAnsi" w:hAnsiTheme="majorHAnsi" w:cstheme="majorHAnsi"/>
          <w:sz w:val="20"/>
          <w:szCs w:val="20"/>
        </w:rPr>
        <w:t>e</w:t>
      </w:r>
      <w:r w:rsidRPr="00F222BF">
        <w:rPr>
          <w:rFonts w:asciiTheme="majorHAnsi" w:hAnsiTheme="majorHAnsi" w:cstheme="majorHAnsi"/>
          <w:sz w:val="20"/>
          <w:szCs w:val="20"/>
        </w:rPr>
        <w:t xml:space="preserve"> les OAP de secteur</w:t>
      </w:r>
      <w:r w:rsidR="005117E1">
        <w:rPr>
          <w:rFonts w:asciiTheme="majorHAnsi" w:hAnsiTheme="majorHAnsi" w:cstheme="majorHAnsi"/>
          <w:sz w:val="20"/>
          <w:szCs w:val="20"/>
        </w:rPr>
        <w:t xml:space="preserve"> des zones</w:t>
      </w:r>
      <w:r w:rsidRPr="00F222BF">
        <w:rPr>
          <w:rFonts w:asciiTheme="majorHAnsi" w:hAnsiTheme="majorHAnsi" w:cstheme="majorHAnsi"/>
          <w:sz w:val="20"/>
          <w:szCs w:val="20"/>
        </w:rPr>
        <w:t xml:space="preserve"> AU</w:t>
      </w:r>
      <w:r w:rsidR="00DD728C" w:rsidRPr="00F222BF">
        <w:rPr>
          <w:rFonts w:asciiTheme="majorHAnsi" w:hAnsiTheme="majorHAnsi" w:cstheme="majorHAnsi"/>
          <w:sz w:val="20"/>
          <w:szCs w:val="20"/>
        </w:rPr>
        <w:t>. Les estimations</w:t>
      </w:r>
      <w:r w:rsidR="005117E1">
        <w:rPr>
          <w:rFonts w:asciiTheme="majorHAnsi" w:hAnsiTheme="majorHAnsi" w:cstheme="majorHAnsi"/>
          <w:sz w:val="20"/>
          <w:szCs w:val="20"/>
        </w:rPr>
        <w:t xml:space="preserve"> du coût de l’aménagement des zones ont été</w:t>
      </w:r>
      <w:r w:rsidR="00DD728C" w:rsidRPr="00F222BF">
        <w:rPr>
          <w:rFonts w:asciiTheme="majorHAnsi" w:hAnsiTheme="majorHAnsi" w:cstheme="majorHAnsi"/>
          <w:sz w:val="20"/>
          <w:szCs w:val="20"/>
        </w:rPr>
        <w:t xml:space="preserve"> réalisées par le </w:t>
      </w:r>
      <w:r w:rsidR="005117E1">
        <w:rPr>
          <w:rFonts w:asciiTheme="majorHAnsi" w:hAnsiTheme="majorHAnsi" w:cstheme="majorHAnsi"/>
          <w:sz w:val="20"/>
          <w:szCs w:val="20"/>
        </w:rPr>
        <w:t>bureau d’études et</w:t>
      </w:r>
      <w:r w:rsidR="00DD728C" w:rsidRPr="00F222BF">
        <w:rPr>
          <w:rFonts w:asciiTheme="majorHAnsi" w:hAnsiTheme="majorHAnsi" w:cstheme="majorHAnsi"/>
          <w:sz w:val="20"/>
          <w:szCs w:val="20"/>
        </w:rPr>
        <w:t xml:space="preserve"> sont faites à la marge</w:t>
      </w:r>
      <w:r w:rsidR="005117E1">
        <w:rPr>
          <w:rFonts w:asciiTheme="majorHAnsi" w:hAnsiTheme="majorHAnsi" w:cstheme="majorHAnsi"/>
          <w:sz w:val="20"/>
          <w:szCs w:val="20"/>
        </w:rPr>
        <w:t>.</w:t>
      </w:r>
    </w:p>
    <w:p w:rsidR="005117E1" w:rsidRPr="00F222BF" w:rsidRDefault="005117E1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117E1" w:rsidRDefault="002B6112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117E1">
        <w:rPr>
          <w:rFonts w:asciiTheme="majorHAnsi" w:hAnsiTheme="majorHAnsi" w:cstheme="majorHAnsi"/>
          <w:b/>
          <w:sz w:val="20"/>
          <w:szCs w:val="20"/>
        </w:rPr>
        <w:t>COULLONS</w:t>
      </w:r>
      <w:r w:rsidR="005117E1">
        <w:rPr>
          <w:rFonts w:asciiTheme="majorHAnsi" w:hAnsiTheme="majorHAnsi" w:cstheme="majorHAnsi"/>
          <w:sz w:val="20"/>
          <w:szCs w:val="20"/>
        </w:rPr>
        <w:t> :</w:t>
      </w:r>
    </w:p>
    <w:p w:rsidR="002B6112" w:rsidRPr="00662424" w:rsidRDefault="00662424" w:rsidP="005117E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62424">
        <w:rPr>
          <w:rFonts w:asciiTheme="majorHAnsi" w:hAnsiTheme="majorHAnsi" w:cstheme="majorHAnsi"/>
          <w:sz w:val="20"/>
          <w:szCs w:val="20"/>
        </w:rPr>
        <w:t xml:space="preserve">OAP Les terres des petites brosses </w:t>
      </w:r>
      <w:r w:rsidR="00DD728C" w:rsidRPr="00662424">
        <w:rPr>
          <w:rFonts w:asciiTheme="majorHAnsi" w:hAnsiTheme="majorHAnsi" w:cstheme="majorHAnsi"/>
          <w:sz w:val="20"/>
          <w:szCs w:val="20"/>
        </w:rPr>
        <w:t xml:space="preserve">: </w:t>
      </w:r>
      <w:r w:rsidR="005117E1" w:rsidRPr="00662424">
        <w:rPr>
          <w:rFonts w:asciiTheme="majorHAnsi" w:hAnsiTheme="majorHAnsi" w:cstheme="majorHAnsi"/>
          <w:sz w:val="20"/>
          <w:szCs w:val="20"/>
        </w:rPr>
        <w:t>la c</w:t>
      </w:r>
      <w:r w:rsidR="002B6112" w:rsidRPr="00662424">
        <w:rPr>
          <w:rFonts w:asciiTheme="majorHAnsi" w:hAnsiTheme="majorHAnsi" w:cstheme="majorHAnsi"/>
          <w:sz w:val="20"/>
          <w:szCs w:val="20"/>
        </w:rPr>
        <w:t xml:space="preserve">ommune étant propriétaire, l’aménagement </w:t>
      </w:r>
      <w:r w:rsidR="005117E1" w:rsidRPr="00662424">
        <w:rPr>
          <w:rFonts w:asciiTheme="majorHAnsi" w:hAnsiTheme="majorHAnsi" w:cstheme="majorHAnsi"/>
          <w:sz w:val="20"/>
          <w:szCs w:val="20"/>
        </w:rPr>
        <w:t>se fera</w:t>
      </w:r>
      <w:r w:rsidR="002B6112" w:rsidRPr="00662424">
        <w:rPr>
          <w:rFonts w:asciiTheme="majorHAnsi" w:hAnsiTheme="majorHAnsi" w:cstheme="majorHAnsi"/>
          <w:sz w:val="20"/>
          <w:szCs w:val="20"/>
        </w:rPr>
        <w:t xml:space="preserve"> au fur et à mesure.</w:t>
      </w:r>
    </w:p>
    <w:p w:rsidR="00DD728C" w:rsidRPr="00F222BF" w:rsidRDefault="005117E1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OAP </w:t>
      </w:r>
      <w:r w:rsidR="00DD728C" w:rsidRPr="00F222BF">
        <w:rPr>
          <w:rFonts w:asciiTheme="majorHAnsi" w:hAnsiTheme="majorHAnsi" w:cstheme="majorHAnsi"/>
          <w:sz w:val="20"/>
          <w:szCs w:val="20"/>
        </w:rPr>
        <w:t xml:space="preserve">La Romancière : </w:t>
      </w:r>
      <w:r>
        <w:rPr>
          <w:rFonts w:asciiTheme="majorHAnsi" w:hAnsiTheme="majorHAnsi" w:cstheme="majorHAnsi"/>
          <w:sz w:val="20"/>
          <w:szCs w:val="20"/>
        </w:rPr>
        <w:t xml:space="preserve">la </w:t>
      </w:r>
      <w:r w:rsidR="00DD728C" w:rsidRPr="00F222BF">
        <w:rPr>
          <w:rFonts w:asciiTheme="majorHAnsi" w:hAnsiTheme="majorHAnsi" w:cstheme="majorHAnsi"/>
          <w:sz w:val="20"/>
          <w:szCs w:val="20"/>
        </w:rPr>
        <w:t xml:space="preserve">commune n’est pas propriétaire, l’aménagement sera </w:t>
      </w:r>
      <w:r w:rsidR="003F4511">
        <w:rPr>
          <w:rFonts w:asciiTheme="majorHAnsi" w:hAnsiTheme="majorHAnsi" w:cstheme="majorHAnsi"/>
          <w:sz w:val="20"/>
          <w:szCs w:val="20"/>
        </w:rPr>
        <w:t>« </w:t>
      </w:r>
      <w:r w:rsidR="00DD728C" w:rsidRPr="00F222BF">
        <w:rPr>
          <w:rFonts w:asciiTheme="majorHAnsi" w:hAnsiTheme="majorHAnsi" w:cstheme="majorHAnsi"/>
          <w:sz w:val="20"/>
          <w:szCs w:val="20"/>
        </w:rPr>
        <w:t>d’ensemble</w:t>
      </w:r>
      <w:r w:rsidR="003F4511">
        <w:rPr>
          <w:rFonts w:asciiTheme="majorHAnsi" w:hAnsiTheme="majorHAnsi" w:cstheme="majorHAnsi"/>
          <w:sz w:val="20"/>
          <w:szCs w:val="20"/>
        </w:rPr>
        <w:t> »</w:t>
      </w:r>
      <w:r w:rsidR="00DD728C" w:rsidRPr="00F222BF">
        <w:rPr>
          <w:rFonts w:asciiTheme="majorHAnsi" w:hAnsiTheme="majorHAnsi" w:cstheme="majorHAnsi"/>
          <w:sz w:val="20"/>
          <w:szCs w:val="20"/>
        </w:rPr>
        <w:t>.</w:t>
      </w:r>
    </w:p>
    <w:p w:rsidR="00702938" w:rsidRPr="00F222BF" w:rsidRDefault="0070293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02938" w:rsidRPr="003F4511" w:rsidRDefault="00702938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F4511">
        <w:rPr>
          <w:rFonts w:asciiTheme="majorHAnsi" w:hAnsiTheme="majorHAnsi" w:cstheme="majorHAnsi"/>
          <w:b/>
          <w:sz w:val="20"/>
          <w:szCs w:val="20"/>
        </w:rPr>
        <w:t xml:space="preserve">LES CHOUX : </w:t>
      </w:r>
    </w:p>
    <w:p w:rsidR="00702938" w:rsidRPr="00F222BF" w:rsidRDefault="005117E1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OAP </w:t>
      </w:r>
      <w:r w:rsidR="00702938" w:rsidRPr="00F222BF">
        <w:rPr>
          <w:rFonts w:asciiTheme="majorHAnsi" w:hAnsiTheme="majorHAnsi" w:cstheme="majorHAnsi"/>
          <w:sz w:val="20"/>
          <w:szCs w:val="20"/>
        </w:rPr>
        <w:t xml:space="preserve">Le bourg : </w:t>
      </w:r>
      <w:r>
        <w:rPr>
          <w:rFonts w:asciiTheme="majorHAnsi" w:hAnsiTheme="majorHAnsi" w:cstheme="majorHAnsi"/>
          <w:sz w:val="20"/>
          <w:szCs w:val="20"/>
        </w:rPr>
        <w:t>c’est un aménagement très sommaire car</w:t>
      </w:r>
      <w:r w:rsidR="00702938" w:rsidRPr="00F222BF">
        <w:rPr>
          <w:rFonts w:asciiTheme="majorHAnsi" w:hAnsiTheme="majorHAnsi" w:cstheme="majorHAnsi"/>
          <w:sz w:val="20"/>
          <w:szCs w:val="20"/>
        </w:rPr>
        <w:t xml:space="preserve"> l’objectif est de créer </w:t>
      </w:r>
      <w:r>
        <w:rPr>
          <w:rFonts w:asciiTheme="majorHAnsi" w:hAnsiTheme="majorHAnsi" w:cstheme="majorHAnsi"/>
          <w:sz w:val="20"/>
          <w:szCs w:val="20"/>
        </w:rPr>
        <w:t>une</w:t>
      </w:r>
      <w:r w:rsidR="00702938" w:rsidRPr="00F222BF">
        <w:rPr>
          <w:rFonts w:asciiTheme="majorHAnsi" w:hAnsiTheme="majorHAnsi" w:cstheme="majorHAnsi"/>
          <w:sz w:val="20"/>
          <w:szCs w:val="20"/>
        </w:rPr>
        <w:t xml:space="preserve"> voirie traversante.</w:t>
      </w:r>
      <w:r w:rsidR="004B65F9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3F4511">
        <w:rPr>
          <w:rFonts w:asciiTheme="majorHAnsi" w:hAnsiTheme="majorHAnsi" w:cstheme="majorHAnsi"/>
          <w:sz w:val="20"/>
          <w:szCs w:val="20"/>
        </w:rPr>
        <w:t>L’a</w:t>
      </w:r>
      <w:r w:rsidR="004B65F9" w:rsidRPr="00F222BF">
        <w:rPr>
          <w:rFonts w:asciiTheme="majorHAnsi" w:hAnsiTheme="majorHAnsi" w:cstheme="majorHAnsi"/>
          <w:sz w:val="20"/>
          <w:szCs w:val="20"/>
        </w:rPr>
        <w:t xml:space="preserve">ménagement </w:t>
      </w:r>
      <w:r w:rsidR="003F4511">
        <w:rPr>
          <w:rFonts w:asciiTheme="majorHAnsi" w:hAnsiTheme="majorHAnsi" w:cstheme="majorHAnsi"/>
          <w:sz w:val="20"/>
          <w:szCs w:val="20"/>
        </w:rPr>
        <w:t>sera « </w:t>
      </w:r>
      <w:r w:rsidR="004B65F9" w:rsidRPr="00F222BF">
        <w:rPr>
          <w:rFonts w:asciiTheme="majorHAnsi" w:hAnsiTheme="majorHAnsi" w:cstheme="majorHAnsi"/>
          <w:sz w:val="20"/>
          <w:szCs w:val="20"/>
        </w:rPr>
        <w:t>d’ensemble</w:t>
      </w:r>
      <w:r w:rsidR="003F4511">
        <w:rPr>
          <w:rFonts w:asciiTheme="majorHAnsi" w:hAnsiTheme="majorHAnsi" w:cstheme="majorHAnsi"/>
          <w:sz w:val="20"/>
          <w:szCs w:val="20"/>
        </w:rPr>
        <w:t> »</w:t>
      </w:r>
      <w:r w:rsidR="004B65F9" w:rsidRPr="00F222BF">
        <w:rPr>
          <w:rFonts w:asciiTheme="majorHAnsi" w:hAnsiTheme="majorHAnsi" w:cstheme="majorHAnsi"/>
          <w:sz w:val="20"/>
          <w:szCs w:val="20"/>
        </w:rPr>
        <w:t>.</w:t>
      </w:r>
    </w:p>
    <w:p w:rsidR="005465F0" w:rsidRPr="00F222BF" w:rsidRDefault="005465F0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B65F9" w:rsidRPr="003F4511" w:rsidRDefault="004B65F9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F4511">
        <w:rPr>
          <w:rFonts w:asciiTheme="majorHAnsi" w:hAnsiTheme="majorHAnsi" w:cstheme="majorHAnsi"/>
          <w:b/>
          <w:sz w:val="20"/>
          <w:szCs w:val="20"/>
        </w:rPr>
        <w:t>POILLY</w:t>
      </w:r>
    </w:p>
    <w:p w:rsidR="004B65F9" w:rsidRPr="00F222BF" w:rsidRDefault="009B6C1B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La commune </w:t>
      </w:r>
      <w:r w:rsidR="003F4511">
        <w:rPr>
          <w:rFonts w:asciiTheme="majorHAnsi" w:hAnsiTheme="majorHAnsi" w:cstheme="majorHAnsi"/>
          <w:sz w:val="20"/>
          <w:szCs w:val="20"/>
        </w:rPr>
        <w:t xml:space="preserve">est propriétaire d’une partie </w:t>
      </w:r>
      <w:r w:rsidRPr="00F222BF">
        <w:rPr>
          <w:rFonts w:asciiTheme="majorHAnsi" w:hAnsiTheme="majorHAnsi" w:cstheme="majorHAnsi"/>
          <w:sz w:val="20"/>
          <w:szCs w:val="20"/>
        </w:rPr>
        <w:t xml:space="preserve">des terrains. La commune décide de valider un aménagement </w:t>
      </w:r>
      <w:r w:rsidR="0003751F" w:rsidRPr="00F222BF">
        <w:rPr>
          <w:rFonts w:asciiTheme="majorHAnsi" w:hAnsiTheme="majorHAnsi" w:cstheme="majorHAnsi"/>
          <w:sz w:val="20"/>
          <w:szCs w:val="20"/>
        </w:rPr>
        <w:t>au fur et à mesure. Des servitudes d’ouvrages devront être prévues.</w:t>
      </w:r>
    </w:p>
    <w:p w:rsidR="0003751F" w:rsidRPr="00F222BF" w:rsidRDefault="0003751F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4050E" w:rsidRPr="00F222BF" w:rsidRDefault="0054050E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F4511">
        <w:rPr>
          <w:rFonts w:asciiTheme="majorHAnsi" w:hAnsiTheme="majorHAnsi" w:cstheme="majorHAnsi"/>
          <w:b/>
          <w:sz w:val="20"/>
          <w:szCs w:val="20"/>
        </w:rPr>
        <w:t>SAINT MARTIN SUR OCRE</w:t>
      </w:r>
      <w:r w:rsidRPr="00F222BF">
        <w:rPr>
          <w:rFonts w:asciiTheme="majorHAnsi" w:hAnsiTheme="majorHAnsi" w:cstheme="majorHAnsi"/>
          <w:sz w:val="20"/>
          <w:szCs w:val="20"/>
        </w:rPr>
        <w:t xml:space="preserve"> : </w:t>
      </w:r>
      <w:r w:rsidR="003F4511">
        <w:rPr>
          <w:rFonts w:asciiTheme="majorHAnsi" w:hAnsiTheme="majorHAnsi" w:cstheme="majorHAnsi"/>
          <w:sz w:val="20"/>
          <w:szCs w:val="20"/>
        </w:rPr>
        <w:t xml:space="preserve">l’aménagement se fera </w:t>
      </w:r>
      <w:r w:rsidRPr="00F222BF">
        <w:rPr>
          <w:rFonts w:asciiTheme="majorHAnsi" w:hAnsiTheme="majorHAnsi" w:cstheme="majorHAnsi"/>
          <w:sz w:val="20"/>
          <w:szCs w:val="20"/>
        </w:rPr>
        <w:t>au fur et à mesure, la commune étant propriétaire</w:t>
      </w:r>
      <w:r w:rsidR="006335E1" w:rsidRPr="00F222BF">
        <w:rPr>
          <w:rFonts w:asciiTheme="majorHAnsi" w:hAnsiTheme="majorHAnsi" w:cstheme="majorHAnsi"/>
          <w:sz w:val="20"/>
          <w:szCs w:val="20"/>
        </w:rPr>
        <w:t>.</w:t>
      </w:r>
    </w:p>
    <w:p w:rsidR="006335E1" w:rsidRPr="00F222BF" w:rsidRDefault="006335E1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5892">
        <w:rPr>
          <w:rFonts w:asciiTheme="majorHAnsi" w:hAnsiTheme="majorHAnsi" w:cstheme="majorHAnsi"/>
          <w:sz w:val="20"/>
          <w:szCs w:val="20"/>
        </w:rPr>
        <w:t>Les plans des estimations du nombre de lots seront à envoyer aux élus.</w:t>
      </w:r>
    </w:p>
    <w:p w:rsidR="00702938" w:rsidRPr="00F222BF" w:rsidRDefault="0070293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4050E" w:rsidRPr="00F222BF" w:rsidRDefault="0054050E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F4511">
        <w:rPr>
          <w:rFonts w:asciiTheme="majorHAnsi" w:hAnsiTheme="majorHAnsi" w:cstheme="majorHAnsi"/>
          <w:b/>
          <w:sz w:val="20"/>
          <w:szCs w:val="20"/>
        </w:rPr>
        <w:t>SAINT GONDON</w:t>
      </w:r>
      <w:r w:rsidRPr="00F222BF">
        <w:rPr>
          <w:rFonts w:asciiTheme="majorHAnsi" w:hAnsiTheme="majorHAnsi" w:cstheme="majorHAnsi"/>
          <w:sz w:val="20"/>
          <w:szCs w:val="20"/>
        </w:rPr>
        <w:t xml:space="preserve"> : </w:t>
      </w:r>
      <w:r w:rsidR="003F4511">
        <w:rPr>
          <w:rFonts w:asciiTheme="majorHAnsi" w:hAnsiTheme="majorHAnsi" w:cstheme="majorHAnsi"/>
          <w:sz w:val="20"/>
          <w:szCs w:val="20"/>
        </w:rPr>
        <w:t xml:space="preserve">aménagement </w:t>
      </w:r>
      <w:r w:rsidRPr="00F222BF">
        <w:rPr>
          <w:rFonts w:asciiTheme="majorHAnsi" w:hAnsiTheme="majorHAnsi" w:cstheme="majorHAnsi"/>
          <w:sz w:val="20"/>
          <w:szCs w:val="20"/>
        </w:rPr>
        <w:t>au fur et à mesure</w:t>
      </w:r>
    </w:p>
    <w:p w:rsidR="0054050E" w:rsidRPr="00F222BF" w:rsidRDefault="0054050E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Le maire explique que le bassin est assez important et souhaite qu’il soit plus loin pour rentabiliser les voiries. GEOMEXPERT explique que c’est un schéma, </w:t>
      </w:r>
      <w:r w:rsidR="003F4511">
        <w:rPr>
          <w:rFonts w:asciiTheme="majorHAnsi" w:hAnsiTheme="majorHAnsi" w:cstheme="majorHAnsi"/>
          <w:sz w:val="20"/>
          <w:szCs w:val="20"/>
        </w:rPr>
        <w:t>le bassin pourra être prévu à un autre endroit</w:t>
      </w:r>
      <w:r w:rsidRPr="00F222BF">
        <w:rPr>
          <w:rFonts w:asciiTheme="majorHAnsi" w:hAnsiTheme="majorHAnsi" w:cstheme="majorHAnsi"/>
          <w:sz w:val="20"/>
          <w:szCs w:val="20"/>
        </w:rPr>
        <w:t>.</w:t>
      </w:r>
    </w:p>
    <w:p w:rsidR="0054050E" w:rsidRPr="00F222BF" w:rsidRDefault="0054050E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4050E" w:rsidRPr="00F222BF" w:rsidRDefault="00C40A49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F01CE">
        <w:rPr>
          <w:rFonts w:asciiTheme="majorHAnsi" w:hAnsiTheme="majorHAnsi" w:cstheme="majorHAnsi"/>
          <w:b/>
          <w:sz w:val="20"/>
          <w:szCs w:val="20"/>
        </w:rPr>
        <w:t>SAINT BRISSON</w:t>
      </w:r>
      <w:r w:rsidRPr="00F222BF">
        <w:rPr>
          <w:rFonts w:asciiTheme="majorHAnsi" w:hAnsiTheme="majorHAnsi" w:cstheme="majorHAnsi"/>
          <w:sz w:val="20"/>
          <w:szCs w:val="20"/>
        </w:rPr>
        <w:t> : aménagement d’ensemble</w:t>
      </w:r>
    </w:p>
    <w:p w:rsidR="00C40A49" w:rsidRPr="00F222BF" w:rsidRDefault="00F53BF4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5892">
        <w:rPr>
          <w:rFonts w:asciiTheme="majorHAnsi" w:hAnsiTheme="majorHAnsi" w:cstheme="majorHAnsi"/>
          <w:sz w:val="20"/>
          <w:szCs w:val="20"/>
        </w:rPr>
        <w:t>GEOMEXPERT enverra les estimations du nombre de lots.</w:t>
      </w:r>
      <w:bookmarkStart w:id="0" w:name="_GoBack"/>
      <w:bookmarkEnd w:id="0"/>
    </w:p>
    <w:p w:rsidR="006335E1" w:rsidRPr="00F222BF" w:rsidRDefault="006335E1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C40A49" w:rsidRPr="009F01CE" w:rsidRDefault="00F31985" w:rsidP="002A024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01CE">
        <w:rPr>
          <w:rFonts w:asciiTheme="majorHAnsi" w:hAnsiTheme="majorHAnsi" w:cstheme="majorHAnsi"/>
          <w:b/>
          <w:sz w:val="20"/>
          <w:szCs w:val="20"/>
        </w:rPr>
        <w:t>GIEN</w:t>
      </w:r>
    </w:p>
    <w:p w:rsidR="00BC67B6" w:rsidRPr="00F222BF" w:rsidRDefault="009F01CE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OAP </w:t>
      </w:r>
      <w:r w:rsidR="00BC67B6" w:rsidRPr="00F222BF">
        <w:rPr>
          <w:rFonts w:asciiTheme="majorHAnsi" w:hAnsiTheme="majorHAnsi" w:cstheme="majorHAnsi"/>
          <w:sz w:val="20"/>
          <w:szCs w:val="20"/>
        </w:rPr>
        <w:t xml:space="preserve">Les </w:t>
      </w:r>
      <w:proofErr w:type="spellStart"/>
      <w:r w:rsidR="00BC67B6" w:rsidRPr="00F222BF">
        <w:rPr>
          <w:rFonts w:asciiTheme="majorHAnsi" w:hAnsiTheme="majorHAnsi" w:cstheme="majorHAnsi"/>
          <w:sz w:val="20"/>
          <w:szCs w:val="20"/>
        </w:rPr>
        <w:t>Cloatons</w:t>
      </w:r>
      <w:proofErr w:type="spellEnd"/>
      <w:r w:rsidR="00BC67B6" w:rsidRPr="00F222BF">
        <w:rPr>
          <w:rFonts w:asciiTheme="majorHAnsi" w:hAnsiTheme="majorHAnsi" w:cstheme="majorHAnsi"/>
          <w:sz w:val="20"/>
          <w:szCs w:val="20"/>
        </w:rPr>
        <w:t xml:space="preserve"> –</w:t>
      </w:r>
      <w:r w:rsidR="004B1DBB">
        <w:rPr>
          <w:rFonts w:asciiTheme="majorHAnsi" w:hAnsiTheme="majorHAnsi" w:cstheme="majorHAnsi"/>
          <w:sz w:val="20"/>
          <w:szCs w:val="20"/>
        </w:rPr>
        <w:t xml:space="preserve"> </w:t>
      </w:r>
      <w:r w:rsidR="00406069" w:rsidRPr="00F222BF">
        <w:rPr>
          <w:rFonts w:asciiTheme="majorHAnsi" w:hAnsiTheme="majorHAnsi" w:cstheme="majorHAnsi"/>
          <w:sz w:val="20"/>
          <w:szCs w:val="20"/>
        </w:rPr>
        <w:t xml:space="preserve">aménagement d’ensemble. </w:t>
      </w:r>
      <w:r w:rsidR="004B1DBB">
        <w:rPr>
          <w:rFonts w:asciiTheme="majorHAnsi" w:hAnsiTheme="majorHAnsi" w:cstheme="majorHAnsi"/>
          <w:sz w:val="20"/>
          <w:szCs w:val="20"/>
        </w:rPr>
        <w:t>Le b</w:t>
      </w:r>
      <w:r w:rsidR="00BC67B6" w:rsidRPr="00F222BF">
        <w:rPr>
          <w:rFonts w:asciiTheme="majorHAnsi" w:hAnsiTheme="majorHAnsi" w:cstheme="majorHAnsi"/>
          <w:sz w:val="20"/>
          <w:szCs w:val="20"/>
        </w:rPr>
        <w:t>ut</w:t>
      </w:r>
      <w:r w:rsidR="004B1DBB">
        <w:rPr>
          <w:rFonts w:asciiTheme="majorHAnsi" w:hAnsiTheme="majorHAnsi" w:cstheme="majorHAnsi"/>
          <w:sz w:val="20"/>
          <w:szCs w:val="20"/>
        </w:rPr>
        <w:t xml:space="preserve"> étant</w:t>
      </w:r>
      <w:r w:rsidR="00BC67B6" w:rsidRPr="00F222BF">
        <w:rPr>
          <w:rFonts w:asciiTheme="majorHAnsi" w:hAnsiTheme="majorHAnsi" w:cstheme="majorHAnsi"/>
          <w:sz w:val="20"/>
          <w:szCs w:val="20"/>
        </w:rPr>
        <w:t xml:space="preserve"> d’avoir un accompagnement paysager car le secteur est assez naturel et </w:t>
      </w:r>
      <w:r w:rsidR="00F33450">
        <w:rPr>
          <w:rFonts w:asciiTheme="majorHAnsi" w:hAnsiTheme="majorHAnsi" w:cstheme="majorHAnsi"/>
          <w:sz w:val="20"/>
          <w:szCs w:val="20"/>
        </w:rPr>
        <w:t>l</w:t>
      </w:r>
      <w:r w:rsidR="00BC67B6" w:rsidRPr="00F222BF">
        <w:rPr>
          <w:rFonts w:asciiTheme="majorHAnsi" w:hAnsiTheme="majorHAnsi" w:cstheme="majorHAnsi"/>
          <w:sz w:val="20"/>
          <w:szCs w:val="20"/>
        </w:rPr>
        <w:t>’habitat</w:t>
      </w:r>
      <w:r w:rsidR="00F33450">
        <w:rPr>
          <w:rFonts w:asciiTheme="majorHAnsi" w:hAnsiTheme="majorHAnsi" w:cstheme="majorHAnsi"/>
          <w:sz w:val="20"/>
          <w:szCs w:val="20"/>
        </w:rPr>
        <w:t xml:space="preserve"> dispersé</w:t>
      </w:r>
      <w:r w:rsidR="00BC67B6" w:rsidRPr="00F222BF">
        <w:rPr>
          <w:rFonts w:asciiTheme="majorHAnsi" w:hAnsiTheme="majorHAnsi" w:cstheme="majorHAnsi"/>
          <w:sz w:val="20"/>
          <w:szCs w:val="20"/>
        </w:rPr>
        <w:t>.</w:t>
      </w:r>
    </w:p>
    <w:p w:rsidR="00BC67B6" w:rsidRPr="00F222BF" w:rsidRDefault="00BC67B6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B1DBB" w:rsidRDefault="004B1DBB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L’</w:t>
      </w:r>
      <w:r w:rsidR="009F01CE">
        <w:rPr>
          <w:rFonts w:asciiTheme="majorHAnsi" w:hAnsiTheme="majorHAnsi" w:cstheme="majorHAnsi"/>
          <w:sz w:val="20"/>
          <w:szCs w:val="20"/>
        </w:rPr>
        <w:t xml:space="preserve">OAP </w:t>
      </w:r>
      <w:r w:rsidR="00BC67B6" w:rsidRPr="00F222BF">
        <w:rPr>
          <w:rFonts w:asciiTheme="majorHAnsi" w:hAnsiTheme="majorHAnsi" w:cstheme="majorHAnsi"/>
          <w:sz w:val="20"/>
          <w:szCs w:val="20"/>
        </w:rPr>
        <w:t>Bel Air</w:t>
      </w:r>
      <w:r>
        <w:rPr>
          <w:rFonts w:asciiTheme="majorHAnsi" w:hAnsiTheme="majorHAnsi" w:cstheme="majorHAnsi"/>
          <w:sz w:val="20"/>
          <w:szCs w:val="20"/>
        </w:rPr>
        <w:t xml:space="preserve"> est une</w:t>
      </w:r>
      <w:r w:rsidR="00406069" w:rsidRPr="00F222BF">
        <w:rPr>
          <w:rFonts w:asciiTheme="majorHAnsi" w:hAnsiTheme="majorHAnsi" w:cstheme="majorHAnsi"/>
          <w:sz w:val="20"/>
          <w:szCs w:val="20"/>
        </w:rPr>
        <w:t xml:space="preserve"> grand</w:t>
      </w:r>
      <w:r>
        <w:rPr>
          <w:rFonts w:asciiTheme="majorHAnsi" w:hAnsiTheme="majorHAnsi" w:cstheme="majorHAnsi"/>
          <w:sz w:val="20"/>
          <w:szCs w:val="20"/>
        </w:rPr>
        <w:t>e</w:t>
      </w:r>
      <w:r w:rsidR="00406069" w:rsidRPr="00F222BF">
        <w:rPr>
          <w:rFonts w:asciiTheme="majorHAnsi" w:hAnsiTheme="majorHAnsi" w:cstheme="majorHAnsi"/>
          <w:sz w:val="20"/>
          <w:szCs w:val="20"/>
        </w:rPr>
        <w:t xml:space="preserve"> opération</w:t>
      </w:r>
      <w:r w:rsidR="003C01D7" w:rsidRPr="00F222BF">
        <w:rPr>
          <w:rFonts w:asciiTheme="majorHAnsi" w:hAnsiTheme="majorHAnsi" w:cstheme="majorHAnsi"/>
          <w:sz w:val="20"/>
          <w:szCs w:val="20"/>
        </w:rPr>
        <w:t xml:space="preserve"> de 20ha</w:t>
      </w:r>
      <w:r w:rsidR="00406069" w:rsidRPr="00F222BF">
        <w:rPr>
          <w:rFonts w:asciiTheme="majorHAnsi" w:hAnsiTheme="majorHAnsi" w:cstheme="majorHAnsi"/>
          <w:sz w:val="20"/>
          <w:szCs w:val="20"/>
        </w:rPr>
        <w:t>.</w:t>
      </w:r>
    </w:p>
    <w:p w:rsidR="00BC67B6" w:rsidRPr="00F222BF" w:rsidRDefault="004B1DBB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L’a</w:t>
      </w:r>
      <w:r w:rsidR="00406069" w:rsidRPr="00F222BF">
        <w:rPr>
          <w:rFonts w:asciiTheme="majorHAnsi" w:hAnsiTheme="majorHAnsi" w:cstheme="majorHAnsi"/>
          <w:sz w:val="20"/>
          <w:szCs w:val="20"/>
        </w:rPr>
        <w:t xml:space="preserve">ménagement </w:t>
      </w:r>
      <w:r>
        <w:rPr>
          <w:rFonts w:asciiTheme="majorHAnsi" w:hAnsiTheme="majorHAnsi" w:cstheme="majorHAnsi"/>
          <w:sz w:val="20"/>
          <w:szCs w:val="20"/>
        </w:rPr>
        <w:t xml:space="preserve">prévu </w:t>
      </w:r>
      <w:r w:rsidR="00E74EF4" w:rsidRPr="00F222BF">
        <w:rPr>
          <w:rFonts w:asciiTheme="majorHAnsi" w:hAnsiTheme="majorHAnsi" w:cstheme="majorHAnsi"/>
          <w:sz w:val="20"/>
          <w:szCs w:val="20"/>
        </w:rPr>
        <w:t>en termes des</w:t>
      </w:r>
      <w:r w:rsidR="00406069" w:rsidRPr="00F222BF">
        <w:rPr>
          <w:rFonts w:asciiTheme="majorHAnsi" w:hAnsiTheme="majorHAnsi" w:cstheme="majorHAnsi"/>
          <w:sz w:val="20"/>
          <w:szCs w:val="20"/>
        </w:rPr>
        <w:t xml:space="preserve"> commerces</w:t>
      </w:r>
      <w:r w:rsidR="00E74EF4" w:rsidRPr="00F222B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sera modifié</w:t>
      </w:r>
      <w:r w:rsidR="00E74EF4" w:rsidRPr="00F222BF">
        <w:rPr>
          <w:rFonts w:asciiTheme="majorHAnsi" w:hAnsiTheme="majorHAnsi" w:cstheme="majorHAnsi"/>
          <w:sz w:val="20"/>
          <w:szCs w:val="20"/>
        </w:rPr>
        <w:t xml:space="preserve"> à la marge </w:t>
      </w:r>
      <w:r>
        <w:rPr>
          <w:rFonts w:asciiTheme="majorHAnsi" w:hAnsiTheme="majorHAnsi" w:cstheme="majorHAnsi"/>
          <w:sz w:val="20"/>
          <w:szCs w:val="20"/>
        </w:rPr>
        <w:t>après l</w:t>
      </w:r>
      <w:r w:rsidR="00E74EF4" w:rsidRPr="00F222BF">
        <w:rPr>
          <w:rFonts w:asciiTheme="majorHAnsi" w:hAnsiTheme="majorHAnsi" w:cstheme="majorHAnsi"/>
          <w:sz w:val="20"/>
          <w:szCs w:val="20"/>
        </w:rPr>
        <w:t xml:space="preserve">es réunions </w:t>
      </w:r>
      <w:r>
        <w:rPr>
          <w:rFonts w:asciiTheme="majorHAnsi" w:hAnsiTheme="majorHAnsi" w:cstheme="majorHAnsi"/>
          <w:sz w:val="20"/>
          <w:szCs w:val="20"/>
        </w:rPr>
        <w:t xml:space="preserve">consacrées à la </w:t>
      </w:r>
      <w:r w:rsidR="00E74EF4" w:rsidRPr="00F222BF">
        <w:rPr>
          <w:rFonts w:asciiTheme="majorHAnsi" w:hAnsiTheme="majorHAnsi" w:cstheme="majorHAnsi"/>
          <w:sz w:val="20"/>
          <w:szCs w:val="20"/>
        </w:rPr>
        <w:t>ville de Gien.</w:t>
      </w:r>
    </w:p>
    <w:p w:rsidR="00BF5805" w:rsidRPr="00F222BF" w:rsidRDefault="0047261B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Les modalités d’aménagement devront être </w:t>
      </w:r>
      <w:r w:rsidR="00BF5805" w:rsidRPr="00F222BF">
        <w:rPr>
          <w:rFonts w:asciiTheme="majorHAnsi" w:hAnsiTheme="majorHAnsi" w:cstheme="majorHAnsi"/>
          <w:sz w:val="20"/>
          <w:szCs w:val="20"/>
        </w:rPr>
        <w:t>réfléchies entre les élus afin d</w:t>
      </w:r>
      <w:r w:rsidR="004B1DBB">
        <w:rPr>
          <w:rFonts w:asciiTheme="majorHAnsi" w:hAnsiTheme="majorHAnsi" w:cstheme="majorHAnsi"/>
          <w:sz w:val="20"/>
          <w:szCs w:val="20"/>
        </w:rPr>
        <w:t xml:space="preserve">’anticiper le </w:t>
      </w:r>
      <w:r w:rsidR="00BF5805" w:rsidRPr="00F222BF">
        <w:rPr>
          <w:rFonts w:asciiTheme="majorHAnsi" w:hAnsiTheme="majorHAnsi" w:cstheme="majorHAnsi"/>
          <w:sz w:val="20"/>
          <w:szCs w:val="20"/>
        </w:rPr>
        <w:t>financement.</w:t>
      </w:r>
    </w:p>
    <w:p w:rsidR="00FA7210" w:rsidRPr="00F222BF" w:rsidRDefault="00FA7210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73B48" w:rsidRPr="00F222BF" w:rsidRDefault="00DE6CA1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GEOMEXPERT fait un calcul sur les coûts des différentes opérations.</w:t>
      </w:r>
      <w:r w:rsidR="004B1DBB">
        <w:rPr>
          <w:rFonts w:asciiTheme="majorHAnsi" w:hAnsiTheme="majorHAnsi" w:cstheme="majorHAnsi"/>
          <w:sz w:val="20"/>
          <w:szCs w:val="20"/>
        </w:rPr>
        <w:t xml:space="preserve"> L’ensemble des projets atteint </w:t>
      </w:r>
      <w:r w:rsidR="00073B48" w:rsidRPr="00F222BF">
        <w:rPr>
          <w:rFonts w:asciiTheme="majorHAnsi" w:hAnsiTheme="majorHAnsi" w:cstheme="majorHAnsi"/>
          <w:sz w:val="20"/>
          <w:szCs w:val="20"/>
        </w:rPr>
        <w:t>3 500 000€ environ (VRD</w:t>
      </w:r>
      <w:r w:rsidR="004B1DBB">
        <w:rPr>
          <w:rFonts w:asciiTheme="majorHAnsi" w:hAnsiTheme="majorHAnsi" w:cstheme="majorHAnsi"/>
          <w:sz w:val="20"/>
          <w:szCs w:val="20"/>
        </w:rPr>
        <w:t xml:space="preserve"> incluse</w:t>
      </w:r>
      <w:r w:rsidR="00073B48" w:rsidRPr="00F222BF">
        <w:rPr>
          <w:rFonts w:asciiTheme="majorHAnsi" w:hAnsiTheme="majorHAnsi" w:cstheme="majorHAnsi"/>
          <w:sz w:val="20"/>
          <w:szCs w:val="20"/>
        </w:rPr>
        <w:t>)</w:t>
      </w:r>
      <w:r w:rsidR="004B1DBB">
        <w:rPr>
          <w:rFonts w:asciiTheme="majorHAnsi" w:hAnsiTheme="majorHAnsi" w:cstheme="majorHAnsi"/>
          <w:sz w:val="20"/>
          <w:szCs w:val="20"/>
        </w:rPr>
        <w:t xml:space="preserve">, en ne prenant pas en compte l’opération Bel-Air de la ville de </w:t>
      </w:r>
      <w:r w:rsidR="00073B48" w:rsidRPr="00F222BF">
        <w:rPr>
          <w:rFonts w:asciiTheme="majorHAnsi" w:hAnsiTheme="majorHAnsi" w:cstheme="majorHAnsi"/>
          <w:sz w:val="20"/>
          <w:szCs w:val="20"/>
        </w:rPr>
        <w:t>Gien</w:t>
      </w:r>
      <w:r w:rsidR="004B1DBB">
        <w:rPr>
          <w:rFonts w:asciiTheme="majorHAnsi" w:hAnsiTheme="majorHAnsi" w:cstheme="majorHAnsi"/>
          <w:sz w:val="20"/>
          <w:szCs w:val="20"/>
        </w:rPr>
        <w:t>.</w:t>
      </w:r>
    </w:p>
    <w:p w:rsidR="00137EF7" w:rsidRPr="00F222BF" w:rsidRDefault="00137EF7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C4865" w:rsidRPr="00F222BF" w:rsidRDefault="003C4865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C4865" w:rsidRPr="004B1DBB" w:rsidRDefault="00643697" w:rsidP="00421F95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1DBB">
        <w:rPr>
          <w:rFonts w:asciiTheme="majorHAnsi" w:hAnsiTheme="majorHAnsi" w:cstheme="majorHAnsi"/>
          <w:b/>
          <w:sz w:val="20"/>
          <w:szCs w:val="20"/>
        </w:rPr>
        <w:t>O</w:t>
      </w:r>
      <w:r>
        <w:rPr>
          <w:rFonts w:asciiTheme="majorHAnsi" w:hAnsiTheme="majorHAnsi" w:cstheme="majorHAnsi"/>
          <w:b/>
          <w:sz w:val="20"/>
          <w:szCs w:val="20"/>
        </w:rPr>
        <w:t>rientations</w:t>
      </w:r>
      <w:r w:rsidR="004B1DBB">
        <w:rPr>
          <w:rFonts w:asciiTheme="majorHAnsi" w:hAnsiTheme="majorHAnsi" w:cstheme="majorHAnsi"/>
          <w:b/>
          <w:sz w:val="20"/>
          <w:szCs w:val="20"/>
        </w:rPr>
        <w:t xml:space="preserve"> d’</w:t>
      </w:r>
      <w:r w:rsidR="003C4865" w:rsidRPr="004B1DBB">
        <w:rPr>
          <w:rFonts w:asciiTheme="majorHAnsi" w:hAnsiTheme="majorHAnsi" w:cstheme="majorHAnsi"/>
          <w:b/>
          <w:sz w:val="20"/>
          <w:szCs w:val="20"/>
        </w:rPr>
        <w:t>A</w:t>
      </w:r>
      <w:r w:rsidR="004B1DBB">
        <w:rPr>
          <w:rFonts w:asciiTheme="majorHAnsi" w:hAnsiTheme="majorHAnsi" w:cstheme="majorHAnsi"/>
          <w:b/>
          <w:sz w:val="20"/>
          <w:szCs w:val="20"/>
        </w:rPr>
        <w:t xml:space="preserve">ménagement et de </w:t>
      </w:r>
      <w:r w:rsidR="003C4865" w:rsidRPr="004B1DBB">
        <w:rPr>
          <w:rFonts w:asciiTheme="majorHAnsi" w:hAnsiTheme="majorHAnsi" w:cstheme="majorHAnsi"/>
          <w:b/>
          <w:sz w:val="20"/>
          <w:szCs w:val="20"/>
        </w:rPr>
        <w:t>P</w:t>
      </w:r>
      <w:r w:rsidR="004B1DBB">
        <w:rPr>
          <w:rFonts w:asciiTheme="majorHAnsi" w:hAnsiTheme="majorHAnsi" w:cstheme="majorHAnsi"/>
          <w:b/>
          <w:sz w:val="20"/>
          <w:szCs w:val="20"/>
        </w:rPr>
        <w:t>rogrammation -</w:t>
      </w:r>
      <w:r w:rsidR="003C4865" w:rsidRPr="004B1DBB">
        <w:rPr>
          <w:rFonts w:asciiTheme="majorHAnsi" w:hAnsiTheme="majorHAnsi" w:cstheme="majorHAnsi"/>
          <w:b/>
          <w:sz w:val="20"/>
          <w:szCs w:val="20"/>
        </w:rPr>
        <w:t xml:space="preserve"> thématique</w:t>
      </w:r>
      <w:r w:rsidR="00421F95" w:rsidRPr="004B1DB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B1DBB">
        <w:rPr>
          <w:rFonts w:asciiTheme="majorHAnsi" w:hAnsiTheme="majorHAnsi" w:cstheme="majorHAnsi"/>
          <w:b/>
          <w:sz w:val="20"/>
          <w:szCs w:val="20"/>
        </w:rPr>
        <w:t>« </w:t>
      </w:r>
      <w:r w:rsidR="003C4865" w:rsidRPr="004B1DBB">
        <w:rPr>
          <w:rFonts w:asciiTheme="majorHAnsi" w:hAnsiTheme="majorHAnsi" w:cstheme="majorHAnsi"/>
          <w:b/>
          <w:sz w:val="20"/>
          <w:szCs w:val="20"/>
        </w:rPr>
        <w:t>Habitat</w:t>
      </w:r>
      <w:r w:rsidR="004B1DBB">
        <w:rPr>
          <w:rFonts w:asciiTheme="majorHAnsi" w:hAnsiTheme="majorHAnsi" w:cstheme="majorHAnsi"/>
          <w:b/>
          <w:sz w:val="20"/>
          <w:szCs w:val="20"/>
        </w:rPr>
        <w:t> »</w:t>
      </w:r>
    </w:p>
    <w:p w:rsidR="00643697" w:rsidRDefault="00643697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C4865" w:rsidRPr="00F222BF" w:rsidRDefault="00643697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Mme LEFEVRE explique que les</w:t>
      </w:r>
      <w:r w:rsidR="003C4865" w:rsidRPr="00F222BF">
        <w:rPr>
          <w:rFonts w:asciiTheme="majorHAnsi" w:hAnsiTheme="majorHAnsi" w:cstheme="majorHAnsi"/>
          <w:sz w:val="20"/>
          <w:szCs w:val="20"/>
        </w:rPr>
        <w:t xml:space="preserve"> propositions </w:t>
      </w:r>
      <w:r>
        <w:rPr>
          <w:rFonts w:asciiTheme="majorHAnsi" w:hAnsiTheme="majorHAnsi" w:cstheme="majorHAnsi"/>
          <w:sz w:val="20"/>
          <w:szCs w:val="20"/>
        </w:rPr>
        <w:t xml:space="preserve">qui sont détaillées </w:t>
      </w:r>
      <w:r w:rsidR="003C4865" w:rsidRPr="00F222BF">
        <w:rPr>
          <w:rFonts w:asciiTheme="majorHAnsi" w:hAnsiTheme="majorHAnsi" w:cstheme="majorHAnsi"/>
          <w:sz w:val="20"/>
          <w:szCs w:val="20"/>
        </w:rPr>
        <w:t>sont provisoires</w:t>
      </w:r>
      <w:r>
        <w:rPr>
          <w:rFonts w:asciiTheme="majorHAnsi" w:hAnsiTheme="majorHAnsi" w:cstheme="majorHAnsi"/>
          <w:sz w:val="20"/>
          <w:szCs w:val="20"/>
        </w:rPr>
        <w:t>, car revues</w:t>
      </w:r>
      <w:r w:rsidR="003C4865" w:rsidRPr="00F222BF">
        <w:rPr>
          <w:rFonts w:asciiTheme="majorHAnsi" w:hAnsiTheme="majorHAnsi" w:cstheme="majorHAnsi"/>
          <w:sz w:val="20"/>
          <w:szCs w:val="20"/>
        </w:rPr>
        <w:t xml:space="preserve"> à la marge </w:t>
      </w:r>
      <w:r>
        <w:rPr>
          <w:rFonts w:asciiTheme="majorHAnsi" w:hAnsiTheme="majorHAnsi" w:cstheme="majorHAnsi"/>
          <w:sz w:val="20"/>
          <w:szCs w:val="20"/>
        </w:rPr>
        <w:t>après les réunions avec</w:t>
      </w:r>
      <w:r w:rsidR="003215DA" w:rsidRPr="00F222BF">
        <w:rPr>
          <w:rFonts w:asciiTheme="majorHAnsi" w:hAnsiTheme="majorHAnsi" w:cstheme="majorHAnsi"/>
          <w:sz w:val="20"/>
          <w:szCs w:val="20"/>
        </w:rPr>
        <w:t xml:space="preserve"> la ville de Gien.</w:t>
      </w:r>
    </w:p>
    <w:p w:rsidR="003215DA" w:rsidRPr="00F222BF" w:rsidRDefault="00F33450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Elle précise</w:t>
      </w:r>
      <w:r w:rsidR="003215DA" w:rsidRPr="00F222BF">
        <w:rPr>
          <w:rFonts w:asciiTheme="majorHAnsi" w:hAnsiTheme="majorHAnsi" w:cstheme="majorHAnsi"/>
          <w:sz w:val="20"/>
          <w:szCs w:val="20"/>
        </w:rPr>
        <w:t xml:space="preserve"> l</w:t>
      </w:r>
      <w:r w:rsidR="003D7B78">
        <w:rPr>
          <w:rFonts w:asciiTheme="majorHAnsi" w:hAnsiTheme="majorHAnsi" w:cstheme="majorHAnsi"/>
          <w:sz w:val="20"/>
          <w:szCs w:val="20"/>
        </w:rPr>
        <w:t xml:space="preserve">’objectif </w:t>
      </w:r>
      <w:r w:rsidR="003215DA" w:rsidRPr="00F222BF">
        <w:rPr>
          <w:rFonts w:asciiTheme="majorHAnsi" w:hAnsiTheme="majorHAnsi" w:cstheme="majorHAnsi"/>
          <w:sz w:val="20"/>
          <w:szCs w:val="20"/>
        </w:rPr>
        <w:t xml:space="preserve">de </w:t>
      </w:r>
      <w:r w:rsidR="003D7B78">
        <w:rPr>
          <w:rFonts w:asciiTheme="majorHAnsi" w:hAnsiTheme="majorHAnsi" w:cstheme="majorHAnsi"/>
          <w:sz w:val="20"/>
          <w:szCs w:val="20"/>
        </w:rPr>
        <w:t>prévoir</w:t>
      </w:r>
      <w:r w:rsidR="003215DA" w:rsidRPr="00F222BF">
        <w:rPr>
          <w:rFonts w:asciiTheme="majorHAnsi" w:hAnsiTheme="majorHAnsi" w:cstheme="majorHAnsi"/>
          <w:sz w:val="20"/>
          <w:szCs w:val="20"/>
        </w:rPr>
        <w:t xml:space="preserve"> des OAP thématiques</w:t>
      </w:r>
      <w:r>
        <w:rPr>
          <w:rFonts w:asciiTheme="majorHAnsi" w:hAnsiTheme="majorHAnsi" w:cstheme="majorHAnsi"/>
          <w:sz w:val="20"/>
          <w:szCs w:val="20"/>
        </w:rPr>
        <w:t> :</w:t>
      </w:r>
      <w:r w:rsidR="003D7B78">
        <w:rPr>
          <w:rFonts w:asciiTheme="majorHAnsi" w:hAnsiTheme="majorHAnsi" w:cstheme="majorHAnsi"/>
          <w:sz w:val="20"/>
          <w:szCs w:val="20"/>
        </w:rPr>
        <w:t xml:space="preserve"> permettre</w:t>
      </w:r>
      <w:r w:rsidR="003215DA" w:rsidRPr="00F222BF">
        <w:rPr>
          <w:rFonts w:asciiTheme="majorHAnsi" w:hAnsiTheme="majorHAnsi" w:cstheme="majorHAnsi"/>
          <w:sz w:val="20"/>
          <w:szCs w:val="20"/>
        </w:rPr>
        <w:t xml:space="preserve"> de dérouler </w:t>
      </w:r>
      <w:r w:rsidR="003D7B78">
        <w:rPr>
          <w:rFonts w:asciiTheme="majorHAnsi" w:hAnsiTheme="majorHAnsi" w:cstheme="majorHAnsi"/>
          <w:sz w:val="20"/>
          <w:szCs w:val="20"/>
        </w:rPr>
        <w:t>une</w:t>
      </w:r>
      <w:r w:rsidR="003215DA" w:rsidRPr="00F222BF">
        <w:rPr>
          <w:rFonts w:asciiTheme="majorHAnsi" w:hAnsiTheme="majorHAnsi" w:cstheme="majorHAnsi"/>
          <w:sz w:val="20"/>
          <w:szCs w:val="20"/>
        </w:rPr>
        <w:t xml:space="preserve"> feuille de route </w:t>
      </w:r>
      <w:r w:rsidR="003D7B78">
        <w:rPr>
          <w:rFonts w:asciiTheme="majorHAnsi" w:hAnsiTheme="majorHAnsi" w:cstheme="majorHAnsi"/>
          <w:sz w:val="20"/>
          <w:szCs w:val="20"/>
        </w:rPr>
        <w:t xml:space="preserve">aux élus </w:t>
      </w:r>
      <w:r w:rsidR="003215DA" w:rsidRPr="00F222BF">
        <w:rPr>
          <w:rFonts w:asciiTheme="majorHAnsi" w:hAnsiTheme="majorHAnsi" w:cstheme="majorHAnsi"/>
          <w:sz w:val="20"/>
          <w:szCs w:val="20"/>
        </w:rPr>
        <w:t>pour actionner</w:t>
      </w:r>
      <w:r w:rsidR="002A0244"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FE023D" w:rsidRPr="00F222BF">
        <w:rPr>
          <w:rFonts w:asciiTheme="majorHAnsi" w:hAnsiTheme="majorHAnsi" w:cstheme="majorHAnsi"/>
          <w:sz w:val="20"/>
          <w:szCs w:val="20"/>
        </w:rPr>
        <w:t>une politique</w:t>
      </w:r>
      <w:r w:rsidR="003D7B78">
        <w:rPr>
          <w:rFonts w:asciiTheme="majorHAnsi" w:hAnsiTheme="majorHAnsi" w:cstheme="majorHAnsi"/>
          <w:sz w:val="20"/>
          <w:szCs w:val="20"/>
        </w:rPr>
        <w:t xml:space="preserve">. </w:t>
      </w:r>
      <w:r w:rsidR="00FE023D" w:rsidRPr="00F222B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34527" w:rsidRPr="00F222BF" w:rsidRDefault="00634527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34527" w:rsidRPr="00F222BF" w:rsidRDefault="00634527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GEOMEXPERT détaille les actions p</w:t>
      </w:r>
      <w:r w:rsidR="004938B2">
        <w:rPr>
          <w:rFonts w:asciiTheme="majorHAnsi" w:hAnsiTheme="majorHAnsi" w:cstheme="majorHAnsi"/>
          <w:sz w:val="20"/>
          <w:szCs w:val="20"/>
        </w:rPr>
        <w:t>ouva</w:t>
      </w:r>
      <w:r w:rsidRPr="00F222BF">
        <w:rPr>
          <w:rFonts w:asciiTheme="majorHAnsi" w:hAnsiTheme="majorHAnsi" w:cstheme="majorHAnsi"/>
          <w:sz w:val="20"/>
          <w:szCs w:val="20"/>
        </w:rPr>
        <w:t>nt être décli</w:t>
      </w:r>
      <w:r w:rsidR="004938B2">
        <w:rPr>
          <w:rFonts w:asciiTheme="majorHAnsi" w:hAnsiTheme="majorHAnsi" w:cstheme="majorHAnsi"/>
          <w:sz w:val="20"/>
          <w:szCs w:val="20"/>
        </w:rPr>
        <w:t>nées</w:t>
      </w:r>
      <w:r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4938B2">
        <w:rPr>
          <w:rFonts w:asciiTheme="majorHAnsi" w:hAnsiTheme="majorHAnsi" w:cstheme="majorHAnsi"/>
          <w:sz w:val="20"/>
          <w:szCs w:val="20"/>
        </w:rPr>
        <w:t>sur la thématique de</w:t>
      </w:r>
      <w:r w:rsidRPr="00F222BF">
        <w:rPr>
          <w:rFonts w:asciiTheme="majorHAnsi" w:hAnsiTheme="majorHAnsi" w:cstheme="majorHAnsi"/>
          <w:sz w:val="20"/>
          <w:szCs w:val="20"/>
        </w:rPr>
        <w:t xml:space="preserve"> l’habitat :</w:t>
      </w:r>
    </w:p>
    <w:p w:rsidR="00634527" w:rsidRPr="00F222BF" w:rsidRDefault="004938B2" w:rsidP="00634527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</w:t>
      </w:r>
      <w:r w:rsidR="00634527" w:rsidRPr="00F222BF">
        <w:rPr>
          <w:rFonts w:asciiTheme="majorHAnsi" w:hAnsiTheme="majorHAnsi" w:cstheme="majorHAnsi"/>
          <w:sz w:val="20"/>
          <w:szCs w:val="20"/>
        </w:rPr>
        <w:t xml:space="preserve"> gouvernance</w:t>
      </w:r>
    </w:p>
    <w:p w:rsidR="00634527" w:rsidRPr="00F222BF" w:rsidRDefault="004938B2" w:rsidP="00634527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</w:t>
      </w:r>
      <w:r w:rsidR="00C70FD1" w:rsidRPr="00F222BF">
        <w:rPr>
          <w:rFonts w:asciiTheme="majorHAnsi" w:hAnsiTheme="majorHAnsi" w:cstheme="majorHAnsi"/>
          <w:sz w:val="20"/>
          <w:szCs w:val="20"/>
        </w:rPr>
        <w:t xml:space="preserve"> suivi et indicateurs</w:t>
      </w:r>
    </w:p>
    <w:p w:rsidR="00C70FD1" w:rsidRPr="00F222BF" w:rsidRDefault="004938B2" w:rsidP="00634527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</w:t>
      </w:r>
      <w:r w:rsidR="00A23E02" w:rsidRPr="00F222BF">
        <w:rPr>
          <w:rFonts w:asciiTheme="majorHAnsi" w:hAnsiTheme="majorHAnsi" w:cstheme="majorHAnsi"/>
          <w:sz w:val="20"/>
          <w:szCs w:val="20"/>
        </w:rPr>
        <w:t xml:space="preserve"> quartier de Gien</w:t>
      </w:r>
      <w:r>
        <w:rPr>
          <w:rFonts w:asciiTheme="majorHAnsi" w:hAnsiTheme="majorHAnsi" w:cstheme="majorHAnsi"/>
          <w:sz w:val="20"/>
          <w:szCs w:val="20"/>
        </w:rPr>
        <w:t xml:space="preserve"> en particulier</w:t>
      </w:r>
    </w:p>
    <w:p w:rsidR="00A23E02" w:rsidRPr="00F222BF" w:rsidRDefault="004938B2" w:rsidP="00634527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p</w:t>
      </w:r>
      <w:r w:rsidR="00A23E02" w:rsidRPr="00F222BF">
        <w:rPr>
          <w:rFonts w:asciiTheme="majorHAnsi" w:hAnsiTheme="majorHAnsi" w:cstheme="majorHAnsi"/>
          <w:sz w:val="20"/>
          <w:szCs w:val="20"/>
        </w:rPr>
        <w:t>roduction de logements en renouvellement urbain</w:t>
      </w:r>
    </w:p>
    <w:p w:rsidR="007333D7" w:rsidRPr="00F222BF" w:rsidRDefault="004938B2" w:rsidP="007333D7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</w:t>
      </w:r>
      <w:r w:rsidR="007333D7" w:rsidRPr="00F222BF">
        <w:rPr>
          <w:rFonts w:asciiTheme="majorHAnsi" w:hAnsiTheme="majorHAnsi" w:cstheme="majorHAnsi"/>
          <w:sz w:val="20"/>
          <w:szCs w:val="20"/>
        </w:rPr>
        <w:t xml:space="preserve"> reprise de</w:t>
      </w:r>
      <w:r>
        <w:rPr>
          <w:rFonts w:asciiTheme="majorHAnsi" w:hAnsiTheme="majorHAnsi" w:cstheme="majorHAnsi"/>
          <w:sz w:val="20"/>
          <w:szCs w:val="20"/>
        </w:rPr>
        <w:t>s logements</w:t>
      </w:r>
      <w:r w:rsidR="007333D7" w:rsidRPr="00F222BF">
        <w:rPr>
          <w:rFonts w:asciiTheme="majorHAnsi" w:hAnsiTheme="majorHAnsi" w:cstheme="majorHAnsi"/>
          <w:sz w:val="20"/>
          <w:szCs w:val="20"/>
        </w:rPr>
        <w:t xml:space="preserve"> vacan</w:t>
      </w:r>
      <w:r>
        <w:rPr>
          <w:rFonts w:asciiTheme="majorHAnsi" w:hAnsiTheme="majorHAnsi" w:cstheme="majorHAnsi"/>
          <w:sz w:val="20"/>
          <w:szCs w:val="20"/>
        </w:rPr>
        <w:t>ts</w:t>
      </w:r>
      <w:r w:rsidR="007333D7" w:rsidRPr="00F222BF">
        <w:rPr>
          <w:rFonts w:asciiTheme="majorHAnsi" w:hAnsiTheme="majorHAnsi" w:cstheme="majorHAnsi"/>
          <w:sz w:val="20"/>
          <w:szCs w:val="20"/>
        </w:rPr>
        <w:t>. Un document sera envoyé aux communes pour qu’elles se positionnent sur les choix politiques.</w:t>
      </w:r>
      <w:r w:rsidR="006478CE" w:rsidRPr="00F222B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Un travail peut être </w:t>
      </w:r>
      <w:r w:rsidR="00F33450">
        <w:rPr>
          <w:rFonts w:asciiTheme="majorHAnsi" w:hAnsiTheme="majorHAnsi" w:cstheme="majorHAnsi"/>
          <w:sz w:val="20"/>
          <w:szCs w:val="20"/>
        </w:rPr>
        <w:t>envisagé</w:t>
      </w:r>
      <w:r>
        <w:rPr>
          <w:rFonts w:asciiTheme="majorHAnsi" w:hAnsiTheme="majorHAnsi" w:cstheme="majorHAnsi"/>
          <w:sz w:val="20"/>
          <w:szCs w:val="20"/>
        </w:rPr>
        <w:t xml:space="preserve"> au sein du PLU</w:t>
      </w:r>
      <w:r w:rsidR="006478CE" w:rsidRPr="00F222BF">
        <w:rPr>
          <w:rFonts w:asciiTheme="majorHAnsi" w:hAnsiTheme="majorHAnsi" w:cstheme="majorHAnsi"/>
          <w:sz w:val="20"/>
          <w:szCs w:val="20"/>
        </w:rPr>
        <w:t>.</w:t>
      </w:r>
      <w:r w:rsidR="00A724B7" w:rsidRPr="00F222B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Mme LEFEVRE indique que les élus devront se priori</w:t>
      </w:r>
      <w:r w:rsidR="00F33450">
        <w:rPr>
          <w:rFonts w:asciiTheme="majorHAnsi" w:hAnsiTheme="majorHAnsi" w:cstheme="majorHAnsi"/>
          <w:sz w:val="20"/>
          <w:szCs w:val="20"/>
        </w:rPr>
        <w:t>ser leurs choix</w:t>
      </w:r>
      <w:r>
        <w:rPr>
          <w:rFonts w:asciiTheme="majorHAnsi" w:hAnsiTheme="majorHAnsi" w:cstheme="majorHAnsi"/>
          <w:sz w:val="20"/>
          <w:szCs w:val="20"/>
        </w:rPr>
        <w:t xml:space="preserve"> sur </w:t>
      </w:r>
      <w:r w:rsidR="00A724B7" w:rsidRPr="00F222BF">
        <w:rPr>
          <w:rFonts w:asciiTheme="majorHAnsi" w:hAnsiTheme="majorHAnsi" w:cstheme="majorHAnsi"/>
          <w:sz w:val="20"/>
          <w:szCs w:val="20"/>
        </w:rPr>
        <w:t>les bâtiments en centre-bourg en désuétude</w:t>
      </w:r>
      <w:r>
        <w:rPr>
          <w:rFonts w:asciiTheme="majorHAnsi" w:hAnsiTheme="majorHAnsi" w:cstheme="majorHAnsi"/>
          <w:sz w:val="20"/>
          <w:szCs w:val="20"/>
        </w:rPr>
        <w:t>. Ils peuvent être</w:t>
      </w:r>
      <w:r w:rsidR="0016495C" w:rsidRPr="00F222B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achetés par la commune ou bien être</w:t>
      </w:r>
      <w:r w:rsidR="0016495C" w:rsidRPr="00F222B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réhabilités via un programme d’</w:t>
      </w:r>
      <w:r w:rsidR="0016495C" w:rsidRPr="00F222BF">
        <w:rPr>
          <w:rFonts w:asciiTheme="majorHAnsi" w:hAnsiTheme="majorHAnsi" w:cstheme="majorHAnsi"/>
          <w:sz w:val="20"/>
          <w:szCs w:val="20"/>
        </w:rPr>
        <w:t>amélioration du bâti par l’O</w:t>
      </w:r>
      <w:r>
        <w:rPr>
          <w:rFonts w:asciiTheme="majorHAnsi" w:hAnsiTheme="majorHAnsi" w:cstheme="majorHAnsi"/>
          <w:sz w:val="20"/>
          <w:szCs w:val="20"/>
        </w:rPr>
        <w:t>PA</w:t>
      </w:r>
      <w:r w:rsidR="0016495C" w:rsidRPr="00F222BF">
        <w:rPr>
          <w:rFonts w:asciiTheme="majorHAnsi" w:hAnsiTheme="majorHAnsi" w:cstheme="majorHAnsi"/>
          <w:sz w:val="20"/>
          <w:szCs w:val="20"/>
        </w:rPr>
        <w:t>H.</w:t>
      </w:r>
    </w:p>
    <w:p w:rsidR="00420366" w:rsidRPr="00F222BF" w:rsidRDefault="00420366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20366" w:rsidRPr="00F222BF" w:rsidRDefault="00420366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VALLOGIS et </w:t>
      </w:r>
      <w:proofErr w:type="spellStart"/>
      <w:r w:rsidRPr="00F222BF">
        <w:rPr>
          <w:rFonts w:asciiTheme="majorHAnsi" w:hAnsiTheme="majorHAnsi" w:cstheme="majorHAnsi"/>
          <w:sz w:val="20"/>
          <w:szCs w:val="20"/>
        </w:rPr>
        <w:t>LogemLoiret</w:t>
      </w:r>
      <w:proofErr w:type="spellEnd"/>
      <w:r w:rsidRPr="00F222BF">
        <w:rPr>
          <w:rFonts w:asciiTheme="majorHAnsi" w:hAnsiTheme="majorHAnsi" w:cstheme="majorHAnsi"/>
          <w:sz w:val="20"/>
          <w:szCs w:val="20"/>
        </w:rPr>
        <w:t xml:space="preserve"> seront recontactés afin qu’ils communiquent le</w:t>
      </w:r>
      <w:r w:rsidR="00C63820">
        <w:rPr>
          <w:rFonts w:asciiTheme="majorHAnsi" w:hAnsiTheme="majorHAnsi" w:cstheme="majorHAnsi"/>
          <w:sz w:val="20"/>
          <w:szCs w:val="20"/>
        </w:rPr>
        <w:t>ur</w:t>
      </w:r>
      <w:r w:rsidRPr="00F222BF">
        <w:rPr>
          <w:rFonts w:asciiTheme="majorHAnsi" w:hAnsiTheme="majorHAnsi" w:cstheme="majorHAnsi"/>
          <w:sz w:val="20"/>
          <w:szCs w:val="20"/>
        </w:rPr>
        <w:t>s lignes d’investissement</w:t>
      </w:r>
      <w:r w:rsidR="00C63820">
        <w:rPr>
          <w:rFonts w:asciiTheme="majorHAnsi" w:hAnsiTheme="majorHAnsi" w:cstheme="majorHAnsi"/>
          <w:sz w:val="20"/>
          <w:szCs w:val="20"/>
        </w:rPr>
        <w:t xml:space="preserve"> sur le territoire</w:t>
      </w:r>
      <w:r w:rsidRPr="00F222BF">
        <w:rPr>
          <w:rFonts w:asciiTheme="majorHAnsi" w:hAnsiTheme="majorHAnsi" w:cstheme="majorHAnsi"/>
          <w:sz w:val="20"/>
          <w:szCs w:val="20"/>
        </w:rPr>
        <w:t>.</w:t>
      </w:r>
    </w:p>
    <w:p w:rsidR="00F359D4" w:rsidRPr="00F222BF" w:rsidRDefault="00F359D4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B5C42" w:rsidRDefault="00421F95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Le Maire de </w:t>
      </w:r>
      <w:proofErr w:type="spellStart"/>
      <w:r w:rsidRPr="00F222BF">
        <w:rPr>
          <w:rFonts w:asciiTheme="majorHAnsi" w:hAnsiTheme="majorHAnsi" w:cstheme="majorHAnsi"/>
          <w:sz w:val="20"/>
          <w:szCs w:val="20"/>
        </w:rPr>
        <w:t>Saint-Brisson</w:t>
      </w:r>
      <w:proofErr w:type="spellEnd"/>
      <w:r w:rsidRPr="00F222BF">
        <w:rPr>
          <w:rFonts w:asciiTheme="majorHAnsi" w:hAnsiTheme="majorHAnsi" w:cstheme="majorHAnsi"/>
          <w:sz w:val="20"/>
          <w:szCs w:val="20"/>
        </w:rPr>
        <w:t xml:space="preserve"> se questionne sur les compétences de la commune sur le logement et </w:t>
      </w:r>
      <w:r w:rsidR="00C63820">
        <w:rPr>
          <w:rFonts w:asciiTheme="majorHAnsi" w:hAnsiTheme="majorHAnsi" w:cstheme="majorHAnsi"/>
          <w:sz w:val="20"/>
          <w:szCs w:val="20"/>
        </w:rPr>
        <w:t xml:space="preserve">les </w:t>
      </w:r>
      <w:r w:rsidRPr="00F222BF">
        <w:rPr>
          <w:rFonts w:asciiTheme="majorHAnsi" w:hAnsiTheme="majorHAnsi" w:cstheme="majorHAnsi"/>
          <w:sz w:val="20"/>
          <w:szCs w:val="20"/>
        </w:rPr>
        <w:t xml:space="preserve">marges de </w:t>
      </w:r>
      <w:r w:rsidR="00C63820" w:rsidRPr="00F222BF">
        <w:rPr>
          <w:rFonts w:asciiTheme="majorHAnsi" w:hAnsiTheme="majorHAnsi" w:cstheme="majorHAnsi"/>
          <w:sz w:val="20"/>
          <w:szCs w:val="20"/>
        </w:rPr>
        <w:t>man</w:t>
      </w:r>
      <w:r w:rsidR="00C63820">
        <w:rPr>
          <w:rFonts w:asciiTheme="majorHAnsi" w:hAnsiTheme="majorHAnsi" w:cstheme="majorHAnsi"/>
          <w:sz w:val="20"/>
          <w:szCs w:val="20"/>
        </w:rPr>
        <w:t>œu</w:t>
      </w:r>
      <w:r w:rsidR="00C63820" w:rsidRPr="00F222BF">
        <w:rPr>
          <w:rFonts w:asciiTheme="majorHAnsi" w:hAnsiTheme="majorHAnsi" w:cstheme="majorHAnsi"/>
          <w:sz w:val="20"/>
          <w:szCs w:val="20"/>
        </w:rPr>
        <w:t>vres</w:t>
      </w:r>
      <w:r w:rsidRPr="00F222BF">
        <w:rPr>
          <w:rFonts w:asciiTheme="majorHAnsi" w:hAnsiTheme="majorHAnsi" w:cstheme="majorHAnsi"/>
          <w:sz w:val="20"/>
          <w:szCs w:val="20"/>
        </w:rPr>
        <w:t>.</w:t>
      </w:r>
    </w:p>
    <w:p w:rsidR="00711748" w:rsidRPr="00F222BF" w:rsidRDefault="00421F95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lastRenderedPageBreak/>
        <w:t>GEOMEXPERT explique que la compétence n’est plus communale</w:t>
      </w:r>
      <w:r w:rsidR="00711748" w:rsidRPr="00F222BF">
        <w:rPr>
          <w:rFonts w:asciiTheme="majorHAnsi" w:hAnsiTheme="majorHAnsi" w:cstheme="majorHAnsi"/>
          <w:sz w:val="20"/>
          <w:szCs w:val="20"/>
        </w:rPr>
        <w:t xml:space="preserve"> depuis les </w:t>
      </w:r>
      <w:r w:rsidR="00EB5C42">
        <w:rPr>
          <w:rFonts w:asciiTheme="majorHAnsi" w:hAnsiTheme="majorHAnsi" w:cstheme="majorHAnsi"/>
          <w:sz w:val="20"/>
          <w:szCs w:val="20"/>
        </w:rPr>
        <w:t>années 1970</w:t>
      </w:r>
      <w:r w:rsidR="00711748" w:rsidRPr="00F222BF">
        <w:rPr>
          <w:rFonts w:asciiTheme="majorHAnsi" w:hAnsiTheme="majorHAnsi" w:cstheme="majorHAnsi"/>
          <w:sz w:val="20"/>
          <w:szCs w:val="20"/>
        </w:rPr>
        <w:t xml:space="preserve"> mais </w:t>
      </w:r>
      <w:r w:rsidR="00EB5C42">
        <w:rPr>
          <w:rFonts w:asciiTheme="majorHAnsi" w:hAnsiTheme="majorHAnsi" w:cstheme="majorHAnsi"/>
          <w:sz w:val="20"/>
          <w:szCs w:val="20"/>
        </w:rPr>
        <w:t xml:space="preserve">elle </w:t>
      </w:r>
      <w:r w:rsidR="00711748" w:rsidRPr="00F222BF">
        <w:rPr>
          <w:rFonts w:asciiTheme="majorHAnsi" w:hAnsiTheme="majorHAnsi" w:cstheme="majorHAnsi"/>
          <w:sz w:val="20"/>
          <w:szCs w:val="20"/>
        </w:rPr>
        <w:t>n’a jamais été formalisée</w:t>
      </w:r>
      <w:r w:rsidR="009D1B14" w:rsidRPr="00F222BF">
        <w:rPr>
          <w:rFonts w:asciiTheme="majorHAnsi" w:hAnsiTheme="majorHAnsi" w:cstheme="majorHAnsi"/>
          <w:sz w:val="20"/>
          <w:szCs w:val="20"/>
        </w:rPr>
        <w:t>. Mr BOUEALU explique qu’il n’y a jamais eu de transferts de charges lorsque le transfert de la compétence logement a été prise. Elle était une compétence facultative depuis des années.</w:t>
      </w:r>
    </w:p>
    <w:p w:rsidR="00177525" w:rsidRPr="00F222BF" w:rsidRDefault="00177525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B04E2A" w:rsidRPr="00F222BF" w:rsidRDefault="00177525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La définition de la compétence logement devr</w:t>
      </w:r>
      <w:r w:rsidR="00EB5C42">
        <w:rPr>
          <w:rFonts w:asciiTheme="majorHAnsi" w:hAnsiTheme="majorHAnsi" w:cstheme="majorHAnsi"/>
          <w:sz w:val="20"/>
          <w:szCs w:val="20"/>
        </w:rPr>
        <w:t>a</w:t>
      </w:r>
      <w:r w:rsidRPr="00F222BF">
        <w:rPr>
          <w:rFonts w:asciiTheme="majorHAnsi" w:hAnsiTheme="majorHAnsi" w:cstheme="majorHAnsi"/>
          <w:sz w:val="20"/>
          <w:szCs w:val="20"/>
        </w:rPr>
        <w:t xml:space="preserve"> être faite</w:t>
      </w:r>
      <w:r w:rsidR="00EB5C42">
        <w:rPr>
          <w:rFonts w:asciiTheme="majorHAnsi" w:hAnsiTheme="majorHAnsi" w:cstheme="majorHAnsi"/>
          <w:sz w:val="20"/>
          <w:szCs w:val="20"/>
        </w:rPr>
        <w:t xml:space="preserve"> </w:t>
      </w:r>
      <w:r w:rsidRPr="00F222BF">
        <w:rPr>
          <w:rFonts w:asciiTheme="majorHAnsi" w:hAnsiTheme="majorHAnsi" w:cstheme="majorHAnsi"/>
          <w:sz w:val="20"/>
          <w:szCs w:val="20"/>
        </w:rPr>
        <w:t>par l</w:t>
      </w:r>
      <w:r w:rsidR="00EB5C42">
        <w:rPr>
          <w:rFonts w:asciiTheme="majorHAnsi" w:hAnsiTheme="majorHAnsi" w:cstheme="majorHAnsi"/>
          <w:sz w:val="20"/>
          <w:szCs w:val="20"/>
        </w:rPr>
        <w:t>’intercommunalité</w:t>
      </w:r>
      <w:r w:rsidR="009025B6" w:rsidRPr="00F222BF">
        <w:rPr>
          <w:rFonts w:asciiTheme="majorHAnsi" w:hAnsiTheme="majorHAnsi" w:cstheme="majorHAnsi"/>
          <w:sz w:val="20"/>
          <w:szCs w:val="20"/>
        </w:rPr>
        <w:t xml:space="preserve"> et les financements devront être prévus. </w:t>
      </w:r>
      <w:r w:rsidR="00305757" w:rsidRPr="00F222BF">
        <w:rPr>
          <w:rFonts w:asciiTheme="majorHAnsi" w:hAnsiTheme="majorHAnsi" w:cstheme="majorHAnsi"/>
          <w:sz w:val="20"/>
          <w:szCs w:val="20"/>
        </w:rPr>
        <w:t>Mr BOULEAU explique qu</w:t>
      </w:r>
      <w:r w:rsidR="0050419A" w:rsidRPr="00F222BF">
        <w:rPr>
          <w:rFonts w:asciiTheme="majorHAnsi" w:hAnsiTheme="majorHAnsi" w:cstheme="majorHAnsi"/>
          <w:sz w:val="20"/>
          <w:szCs w:val="20"/>
        </w:rPr>
        <w:t>’une commission logement existe déjà</w:t>
      </w:r>
      <w:r w:rsidR="00EB5C42">
        <w:rPr>
          <w:rFonts w:asciiTheme="majorHAnsi" w:hAnsiTheme="majorHAnsi" w:cstheme="majorHAnsi"/>
          <w:sz w:val="20"/>
          <w:szCs w:val="20"/>
        </w:rPr>
        <w:t xml:space="preserve"> et est</w:t>
      </w:r>
      <w:r w:rsidR="0050419A" w:rsidRPr="00F222BF">
        <w:rPr>
          <w:rFonts w:asciiTheme="majorHAnsi" w:hAnsiTheme="majorHAnsi" w:cstheme="majorHAnsi"/>
          <w:sz w:val="20"/>
          <w:szCs w:val="20"/>
        </w:rPr>
        <w:t xml:space="preserve"> présidée par Mme DE METZ</w:t>
      </w:r>
      <w:r w:rsidR="00B04E2A" w:rsidRPr="00F222BF">
        <w:rPr>
          <w:rFonts w:asciiTheme="majorHAnsi" w:hAnsiTheme="majorHAnsi" w:cstheme="majorHAnsi"/>
          <w:sz w:val="20"/>
          <w:szCs w:val="20"/>
        </w:rPr>
        <w:t xml:space="preserve"> mais qu’aucune décision n’est prise.</w:t>
      </w:r>
    </w:p>
    <w:p w:rsidR="00B04E2A" w:rsidRPr="00F222BF" w:rsidRDefault="00B04E2A" w:rsidP="007E01B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La feuille de route sera reprécisée par le bureau d’études, il faudra </w:t>
      </w:r>
      <w:r w:rsidR="00EB5C42">
        <w:rPr>
          <w:rFonts w:asciiTheme="majorHAnsi" w:hAnsiTheme="majorHAnsi" w:cstheme="majorHAnsi"/>
          <w:sz w:val="20"/>
          <w:szCs w:val="20"/>
        </w:rPr>
        <w:t xml:space="preserve">prévoir </w:t>
      </w:r>
      <w:r w:rsidRPr="00F222BF">
        <w:rPr>
          <w:rFonts w:asciiTheme="majorHAnsi" w:hAnsiTheme="majorHAnsi" w:cstheme="majorHAnsi"/>
          <w:sz w:val="20"/>
          <w:szCs w:val="20"/>
        </w:rPr>
        <w:t xml:space="preserve">un budget et un </w:t>
      </w:r>
      <w:r w:rsidR="003372DD" w:rsidRPr="00F222BF">
        <w:rPr>
          <w:rFonts w:asciiTheme="majorHAnsi" w:hAnsiTheme="majorHAnsi" w:cstheme="majorHAnsi"/>
          <w:sz w:val="20"/>
          <w:szCs w:val="20"/>
        </w:rPr>
        <w:t>technicien.</w:t>
      </w:r>
    </w:p>
    <w:p w:rsidR="00073B48" w:rsidRPr="00F222BF" w:rsidRDefault="00073B48" w:rsidP="002A024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21F95" w:rsidRPr="00F222BF" w:rsidRDefault="00EB5C42" w:rsidP="00421F95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1DBB">
        <w:rPr>
          <w:rFonts w:asciiTheme="majorHAnsi" w:hAnsiTheme="majorHAnsi" w:cstheme="majorHAnsi"/>
          <w:b/>
          <w:sz w:val="20"/>
          <w:szCs w:val="20"/>
        </w:rPr>
        <w:t>O</w:t>
      </w:r>
      <w:r>
        <w:rPr>
          <w:rFonts w:asciiTheme="majorHAnsi" w:hAnsiTheme="majorHAnsi" w:cstheme="majorHAnsi"/>
          <w:b/>
          <w:sz w:val="20"/>
          <w:szCs w:val="20"/>
        </w:rPr>
        <w:t>rientations d’</w:t>
      </w:r>
      <w:r w:rsidRPr="004B1DBB">
        <w:rPr>
          <w:rFonts w:asciiTheme="majorHAnsi" w:hAnsiTheme="majorHAnsi" w:cstheme="majorHAnsi"/>
          <w:b/>
          <w:sz w:val="20"/>
          <w:szCs w:val="20"/>
        </w:rPr>
        <w:t>A</w:t>
      </w:r>
      <w:r>
        <w:rPr>
          <w:rFonts w:asciiTheme="majorHAnsi" w:hAnsiTheme="majorHAnsi" w:cstheme="majorHAnsi"/>
          <w:b/>
          <w:sz w:val="20"/>
          <w:szCs w:val="20"/>
        </w:rPr>
        <w:t xml:space="preserve">ménagement et de </w:t>
      </w:r>
      <w:r w:rsidRPr="004B1DBB">
        <w:rPr>
          <w:rFonts w:asciiTheme="majorHAnsi" w:hAnsiTheme="majorHAnsi" w:cstheme="majorHAnsi"/>
          <w:b/>
          <w:sz w:val="20"/>
          <w:szCs w:val="20"/>
        </w:rPr>
        <w:t>P</w:t>
      </w:r>
      <w:r>
        <w:rPr>
          <w:rFonts w:asciiTheme="majorHAnsi" w:hAnsiTheme="majorHAnsi" w:cstheme="majorHAnsi"/>
          <w:b/>
          <w:sz w:val="20"/>
          <w:szCs w:val="20"/>
        </w:rPr>
        <w:t>rogrammation -</w:t>
      </w:r>
      <w:r w:rsidRPr="004B1DBB">
        <w:rPr>
          <w:rFonts w:asciiTheme="majorHAnsi" w:hAnsiTheme="majorHAnsi" w:cstheme="majorHAnsi"/>
          <w:b/>
          <w:sz w:val="20"/>
          <w:szCs w:val="20"/>
        </w:rPr>
        <w:t xml:space="preserve"> thématique</w:t>
      </w:r>
      <w:r w:rsidR="00421F95" w:rsidRPr="00F222BF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« </w:t>
      </w:r>
      <w:r w:rsidR="003372DD" w:rsidRPr="00F222BF">
        <w:rPr>
          <w:rFonts w:asciiTheme="majorHAnsi" w:hAnsiTheme="majorHAnsi" w:cstheme="majorHAnsi"/>
          <w:b/>
          <w:sz w:val="20"/>
          <w:szCs w:val="20"/>
        </w:rPr>
        <w:t>Mobilité</w:t>
      </w:r>
      <w:r>
        <w:rPr>
          <w:rFonts w:asciiTheme="majorHAnsi" w:hAnsiTheme="majorHAnsi" w:cstheme="majorHAnsi"/>
          <w:b/>
          <w:sz w:val="20"/>
          <w:szCs w:val="20"/>
        </w:rPr>
        <w:t> »</w:t>
      </w:r>
    </w:p>
    <w:p w:rsidR="003372DD" w:rsidRPr="00F222BF" w:rsidRDefault="003372DD" w:rsidP="003372DD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372DD" w:rsidRDefault="00EB5C42" w:rsidP="003372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mobilité n’est pas une compétence de l’intercommunalité mais le territoire exprime un besoin de déplacements à prévoir.</w:t>
      </w:r>
      <w:r w:rsidR="007B454A" w:rsidRPr="00F222BF">
        <w:rPr>
          <w:rFonts w:asciiTheme="majorHAnsi" w:hAnsiTheme="majorHAnsi" w:cstheme="majorHAnsi"/>
          <w:sz w:val="20"/>
          <w:szCs w:val="20"/>
        </w:rPr>
        <w:t xml:space="preserve"> La feuille de route permet</w:t>
      </w:r>
      <w:r w:rsidR="002A5807">
        <w:rPr>
          <w:rFonts w:asciiTheme="majorHAnsi" w:hAnsiTheme="majorHAnsi" w:cstheme="majorHAnsi"/>
          <w:sz w:val="20"/>
          <w:szCs w:val="20"/>
        </w:rPr>
        <w:t>tra</w:t>
      </w:r>
      <w:r w:rsidR="007B454A" w:rsidRPr="00F222BF">
        <w:rPr>
          <w:rFonts w:asciiTheme="majorHAnsi" w:hAnsiTheme="majorHAnsi" w:cstheme="majorHAnsi"/>
          <w:sz w:val="20"/>
          <w:szCs w:val="20"/>
        </w:rPr>
        <w:t xml:space="preserve"> d</w:t>
      </w:r>
      <w:r w:rsidR="000354A4" w:rsidRPr="00F222BF">
        <w:rPr>
          <w:rFonts w:asciiTheme="majorHAnsi" w:hAnsiTheme="majorHAnsi" w:cstheme="majorHAnsi"/>
          <w:sz w:val="20"/>
          <w:szCs w:val="20"/>
        </w:rPr>
        <w:t xml:space="preserve">’être un support </w:t>
      </w:r>
      <w:r w:rsidR="002A5807">
        <w:rPr>
          <w:rFonts w:asciiTheme="majorHAnsi" w:hAnsiTheme="majorHAnsi" w:cstheme="majorHAnsi"/>
          <w:sz w:val="20"/>
          <w:szCs w:val="20"/>
        </w:rPr>
        <w:t>de</w:t>
      </w:r>
      <w:r w:rsidR="000354A4" w:rsidRPr="00F222BF">
        <w:rPr>
          <w:rFonts w:asciiTheme="majorHAnsi" w:hAnsiTheme="majorHAnsi" w:cstheme="majorHAnsi"/>
          <w:sz w:val="20"/>
          <w:szCs w:val="20"/>
        </w:rPr>
        <w:t xml:space="preserve"> travail et </w:t>
      </w:r>
      <w:r w:rsidR="002A5807">
        <w:rPr>
          <w:rFonts w:asciiTheme="majorHAnsi" w:hAnsiTheme="majorHAnsi" w:cstheme="majorHAnsi"/>
          <w:sz w:val="20"/>
          <w:szCs w:val="20"/>
        </w:rPr>
        <w:t>d’</w:t>
      </w:r>
      <w:r w:rsidR="000354A4" w:rsidRPr="00F222BF">
        <w:rPr>
          <w:rFonts w:asciiTheme="majorHAnsi" w:hAnsiTheme="majorHAnsi" w:cstheme="majorHAnsi"/>
          <w:sz w:val="20"/>
          <w:szCs w:val="20"/>
        </w:rPr>
        <w:t>axes de réflexion.</w:t>
      </w:r>
    </w:p>
    <w:p w:rsidR="002A5807" w:rsidRPr="00F222BF" w:rsidRDefault="002A5807" w:rsidP="003372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40352" w:rsidRPr="00F222BF" w:rsidRDefault="00E40352" w:rsidP="003372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Mme CACHAN explique que l</w:t>
      </w:r>
      <w:r w:rsidR="002A5807">
        <w:rPr>
          <w:rFonts w:asciiTheme="majorHAnsi" w:hAnsiTheme="majorHAnsi" w:cstheme="majorHAnsi"/>
          <w:sz w:val="20"/>
          <w:szCs w:val="20"/>
        </w:rPr>
        <w:t xml:space="preserve">’intercommunalité </w:t>
      </w:r>
      <w:r w:rsidRPr="00F222BF">
        <w:rPr>
          <w:rFonts w:asciiTheme="majorHAnsi" w:hAnsiTheme="majorHAnsi" w:cstheme="majorHAnsi"/>
          <w:sz w:val="20"/>
          <w:szCs w:val="20"/>
        </w:rPr>
        <w:t>sera probablement bientôt une AOT.</w:t>
      </w:r>
    </w:p>
    <w:p w:rsidR="00F966E8" w:rsidRPr="00F222BF" w:rsidRDefault="00F966E8" w:rsidP="003372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D2160" w:rsidRDefault="00F966E8" w:rsidP="003372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 xml:space="preserve">Mr BOULEAU </w:t>
      </w:r>
      <w:r w:rsidR="002A5807">
        <w:rPr>
          <w:rFonts w:asciiTheme="majorHAnsi" w:hAnsiTheme="majorHAnsi" w:cstheme="majorHAnsi"/>
          <w:sz w:val="20"/>
          <w:szCs w:val="20"/>
        </w:rPr>
        <w:t xml:space="preserve">envisage </w:t>
      </w:r>
      <w:r w:rsidR="002A5807" w:rsidRPr="00F222BF">
        <w:rPr>
          <w:rFonts w:asciiTheme="majorHAnsi" w:hAnsiTheme="majorHAnsi" w:cstheme="majorHAnsi"/>
          <w:sz w:val="20"/>
          <w:szCs w:val="20"/>
        </w:rPr>
        <w:t>plutôt</w:t>
      </w:r>
      <w:r w:rsidRPr="00F222BF">
        <w:rPr>
          <w:rFonts w:asciiTheme="majorHAnsi" w:hAnsiTheme="majorHAnsi" w:cstheme="majorHAnsi"/>
          <w:sz w:val="20"/>
          <w:szCs w:val="20"/>
        </w:rPr>
        <w:t xml:space="preserve"> </w:t>
      </w:r>
      <w:r w:rsidR="002A5807">
        <w:rPr>
          <w:rFonts w:asciiTheme="majorHAnsi" w:hAnsiTheme="majorHAnsi" w:cstheme="majorHAnsi"/>
          <w:sz w:val="20"/>
          <w:szCs w:val="20"/>
        </w:rPr>
        <w:t>de</w:t>
      </w:r>
      <w:r w:rsidRPr="00F222BF">
        <w:rPr>
          <w:rFonts w:asciiTheme="majorHAnsi" w:hAnsiTheme="majorHAnsi" w:cstheme="majorHAnsi"/>
          <w:sz w:val="20"/>
          <w:szCs w:val="20"/>
        </w:rPr>
        <w:t xml:space="preserve"> prendre en compte les objectifs </w:t>
      </w:r>
      <w:r w:rsidR="002A5807">
        <w:rPr>
          <w:rFonts w:asciiTheme="majorHAnsi" w:hAnsiTheme="majorHAnsi" w:cstheme="majorHAnsi"/>
          <w:sz w:val="20"/>
          <w:szCs w:val="20"/>
        </w:rPr>
        <w:t xml:space="preserve">proposés par GEOMEXPERT </w:t>
      </w:r>
      <w:r w:rsidRPr="00F222BF">
        <w:rPr>
          <w:rFonts w:asciiTheme="majorHAnsi" w:hAnsiTheme="majorHAnsi" w:cstheme="majorHAnsi"/>
          <w:sz w:val="20"/>
          <w:szCs w:val="20"/>
        </w:rPr>
        <w:t>et une commission pourrait être prévue plus tard lorsque la compétence déplacements devra être prise.</w:t>
      </w:r>
    </w:p>
    <w:p w:rsidR="006D2160" w:rsidRDefault="006D2160" w:rsidP="003372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966E8" w:rsidRPr="006D2160" w:rsidRDefault="006D2160" w:rsidP="006D216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GEOMEXPER détaille les propositions d’objectifs, en expliquant que les</w:t>
      </w:r>
      <w:r w:rsidR="005F386A" w:rsidRPr="006D2160">
        <w:rPr>
          <w:rFonts w:asciiTheme="majorHAnsi" w:hAnsiTheme="majorHAnsi" w:cstheme="majorHAnsi"/>
          <w:sz w:val="20"/>
          <w:szCs w:val="20"/>
        </w:rPr>
        <w:t xml:space="preserve"> OAP sectorielles ont plébiscité les coutures viaires, cycles et piétonnes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7D44CA" w:rsidRPr="00F222BF" w:rsidRDefault="006D2160" w:rsidP="006D216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Concernant l’axe « </w:t>
      </w:r>
      <w:r w:rsidR="00853338" w:rsidRPr="006D2160">
        <w:rPr>
          <w:rFonts w:asciiTheme="majorHAnsi" w:hAnsiTheme="majorHAnsi" w:cstheme="majorHAnsi"/>
          <w:sz w:val="20"/>
          <w:szCs w:val="20"/>
        </w:rPr>
        <w:t>Men</w:t>
      </w:r>
      <w:r w:rsidR="00F83E3D" w:rsidRPr="006D2160">
        <w:rPr>
          <w:rFonts w:asciiTheme="majorHAnsi" w:hAnsiTheme="majorHAnsi" w:cstheme="majorHAnsi"/>
          <w:sz w:val="20"/>
          <w:szCs w:val="20"/>
        </w:rPr>
        <w:t>er</w:t>
      </w:r>
      <w:r w:rsidR="00853338" w:rsidRPr="006D2160">
        <w:rPr>
          <w:rFonts w:asciiTheme="majorHAnsi" w:hAnsiTheme="majorHAnsi" w:cstheme="majorHAnsi"/>
          <w:sz w:val="20"/>
          <w:szCs w:val="20"/>
        </w:rPr>
        <w:t xml:space="preserve"> une réflexion plus poussée </w:t>
      </w:r>
      <w:r w:rsidR="00355C7F" w:rsidRPr="006D2160">
        <w:rPr>
          <w:rFonts w:asciiTheme="majorHAnsi" w:hAnsiTheme="majorHAnsi" w:cstheme="majorHAnsi"/>
          <w:sz w:val="20"/>
          <w:szCs w:val="20"/>
        </w:rPr>
        <w:t xml:space="preserve">sur le déploiement sur l’intercommunalité </w:t>
      </w:r>
      <w:r w:rsidR="007D44CA" w:rsidRPr="006D2160">
        <w:rPr>
          <w:rFonts w:asciiTheme="majorHAnsi" w:hAnsiTheme="majorHAnsi" w:cstheme="majorHAnsi"/>
          <w:sz w:val="20"/>
          <w:szCs w:val="20"/>
        </w:rPr>
        <w:t>ce qui est fait avec la</w:t>
      </w:r>
      <w:r w:rsidR="00853338" w:rsidRPr="006D2160">
        <w:rPr>
          <w:rFonts w:asciiTheme="majorHAnsi" w:hAnsiTheme="majorHAnsi" w:cstheme="majorHAnsi"/>
          <w:sz w:val="20"/>
          <w:szCs w:val="20"/>
        </w:rPr>
        <w:t xml:space="preserve"> navette de Gien</w:t>
      </w:r>
      <w:r>
        <w:rPr>
          <w:rFonts w:asciiTheme="majorHAnsi" w:hAnsiTheme="majorHAnsi" w:cstheme="majorHAnsi"/>
          <w:sz w:val="20"/>
          <w:szCs w:val="20"/>
        </w:rPr>
        <w:t xml:space="preserve"> », </w:t>
      </w:r>
      <w:r w:rsidR="007D44CA" w:rsidRPr="00F222BF">
        <w:rPr>
          <w:rFonts w:asciiTheme="majorHAnsi" w:hAnsiTheme="majorHAnsi" w:cstheme="majorHAnsi"/>
          <w:sz w:val="20"/>
          <w:szCs w:val="20"/>
        </w:rPr>
        <w:t>Mr BOULEAU explique que cela est très intéressant</w:t>
      </w:r>
      <w:r>
        <w:rPr>
          <w:rFonts w:asciiTheme="majorHAnsi" w:hAnsiTheme="majorHAnsi" w:cstheme="majorHAnsi"/>
          <w:sz w:val="20"/>
          <w:szCs w:val="20"/>
        </w:rPr>
        <w:t xml:space="preserve"> et essentiel pour attirer de nouveaux habitants</w:t>
      </w:r>
      <w:r w:rsidR="007D44CA" w:rsidRPr="00F222BF">
        <w:rPr>
          <w:rFonts w:asciiTheme="majorHAnsi" w:hAnsiTheme="majorHAnsi" w:cstheme="majorHAnsi"/>
          <w:sz w:val="20"/>
          <w:szCs w:val="20"/>
        </w:rPr>
        <w:t>. GEOMEXPERT explique que la mobilité reste le pivot pour le développement des territoire</w:t>
      </w:r>
      <w:r>
        <w:rPr>
          <w:rFonts w:asciiTheme="majorHAnsi" w:hAnsiTheme="majorHAnsi" w:cstheme="majorHAnsi"/>
          <w:sz w:val="20"/>
          <w:szCs w:val="20"/>
        </w:rPr>
        <w:t>s</w:t>
      </w:r>
      <w:r w:rsidR="007D44CA" w:rsidRPr="00F222BF">
        <w:rPr>
          <w:rFonts w:asciiTheme="majorHAnsi" w:hAnsiTheme="majorHAnsi" w:cstheme="majorHAnsi"/>
          <w:sz w:val="20"/>
          <w:szCs w:val="20"/>
        </w:rPr>
        <w:t xml:space="preserve"> ruraux. Mr BOULEAU explique </w:t>
      </w:r>
      <w:r w:rsidR="00F33450">
        <w:rPr>
          <w:rFonts w:asciiTheme="majorHAnsi" w:hAnsiTheme="majorHAnsi" w:cstheme="majorHAnsi"/>
          <w:sz w:val="20"/>
          <w:szCs w:val="20"/>
        </w:rPr>
        <w:t xml:space="preserve">qu’une réflexion devra être menée </w:t>
      </w:r>
      <w:r w:rsidR="007D44CA" w:rsidRPr="00F222BF">
        <w:rPr>
          <w:rFonts w:asciiTheme="majorHAnsi" w:hAnsiTheme="majorHAnsi" w:cstheme="majorHAnsi"/>
          <w:sz w:val="20"/>
          <w:szCs w:val="20"/>
        </w:rPr>
        <w:t xml:space="preserve">sur la prise de compétence et le financement </w:t>
      </w:r>
      <w:r>
        <w:rPr>
          <w:rFonts w:asciiTheme="majorHAnsi" w:hAnsiTheme="majorHAnsi" w:cstheme="majorHAnsi"/>
          <w:sz w:val="20"/>
          <w:szCs w:val="20"/>
        </w:rPr>
        <w:t xml:space="preserve">de cette navette. </w:t>
      </w:r>
      <w:r w:rsidR="00F33450">
        <w:rPr>
          <w:rFonts w:asciiTheme="majorHAnsi" w:hAnsiTheme="majorHAnsi" w:cstheme="majorHAnsi"/>
          <w:sz w:val="20"/>
          <w:szCs w:val="20"/>
        </w:rPr>
        <w:t>Un</w:t>
      </w:r>
      <w:r>
        <w:rPr>
          <w:rFonts w:asciiTheme="majorHAnsi" w:hAnsiTheme="majorHAnsi" w:cstheme="majorHAnsi"/>
          <w:sz w:val="20"/>
          <w:szCs w:val="20"/>
        </w:rPr>
        <w:t xml:space="preserve"> service payant pourra éventuellement être prévu</w:t>
      </w:r>
      <w:r w:rsidR="007D44CA" w:rsidRPr="00F222B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6D2160" w:rsidRPr="00F222BF" w:rsidRDefault="006D2160" w:rsidP="006D216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Mr BOULEAU demande si les élus souhaitent au cours de l’année 2019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F222BF">
        <w:rPr>
          <w:rFonts w:asciiTheme="majorHAnsi" w:hAnsiTheme="majorHAnsi" w:cstheme="majorHAnsi"/>
          <w:sz w:val="20"/>
          <w:szCs w:val="20"/>
        </w:rPr>
        <w:t xml:space="preserve"> un déploiement de ce service</w:t>
      </w:r>
      <w:r w:rsidR="00F33450">
        <w:rPr>
          <w:rFonts w:asciiTheme="majorHAnsi" w:hAnsiTheme="majorHAnsi" w:cstheme="majorHAnsi"/>
          <w:sz w:val="20"/>
          <w:szCs w:val="20"/>
        </w:rPr>
        <w:t xml:space="preserve"> à titre expérimental</w:t>
      </w:r>
      <w:r>
        <w:rPr>
          <w:rFonts w:asciiTheme="majorHAnsi" w:hAnsiTheme="majorHAnsi" w:cstheme="majorHAnsi"/>
          <w:sz w:val="20"/>
          <w:szCs w:val="20"/>
        </w:rPr>
        <w:t xml:space="preserve">. Il est décidé qu’une navette </w:t>
      </w:r>
      <w:r w:rsidR="00F33450">
        <w:rPr>
          <w:rFonts w:asciiTheme="majorHAnsi" w:hAnsiTheme="majorHAnsi" w:cstheme="majorHAnsi"/>
          <w:sz w:val="20"/>
          <w:szCs w:val="20"/>
        </w:rPr>
        <w:t>pourra être prévue</w:t>
      </w:r>
      <w:r>
        <w:rPr>
          <w:rFonts w:asciiTheme="majorHAnsi" w:hAnsiTheme="majorHAnsi" w:cstheme="majorHAnsi"/>
          <w:sz w:val="20"/>
          <w:szCs w:val="20"/>
        </w:rPr>
        <w:t xml:space="preserve"> a</w:t>
      </w:r>
      <w:r w:rsidRPr="00F222BF">
        <w:rPr>
          <w:rFonts w:asciiTheme="majorHAnsi" w:hAnsiTheme="majorHAnsi" w:cstheme="majorHAnsi"/>
          <w:sz w:val="20"/>
          <w:szCs w:val="20"/>
        </w:rPr>
        <w:t xml:space="preserve">u sud et une au nord. </w:t>
      </w:r>
    </w:p>
    <w:p w:rsidR="006D2160" w:rsidRDefault="006D2160" w:rsidP="006D216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54BB1" w:rsidRDefault="00754BB1" w:rsidP="006D216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D2160">
        <w:rPr>
          <w:rFonts w:asciiTheme="majorHAnsi" w:hAnsiTheme="majorHAnsi" w:cstheme="majorHAnsi"/>
          <w:sz w:val="20"/>
          <w:szCs w:val="20"/>
        </w:rPr>
        <w:t>L</w:t>
      </w:r>
      <w:r w:rsidR="006D2160">
        <w:rPr>
          <w:rFonts w:asciiTheme="majorHAnsi" w:hAnsiTheme="majorHAnsi" w:cstheme="majorHAnsi"/>
          <w:sz w:val="20"/>
          <w:szCs w:val="20"/>
        </w:rPr>
        <w:t xml:space="preserve">’intercommunalité </w:t>
      </w:r>
      <w:r w:rsidRPr="006D2160">
        <w:rPr>
          <w:rFonts w:asciiTheme="majorHAnsi" w:hAnsiTheme="majorHAnsi" w:cstheme="majorHAnsi"/>
          <w:sz w:val="20"/>
          <w:szCs w:val="20"/>
        </w:rPr>
        <w:t>devra également trouver des financements avec des appels à projets</w:t>
      </w:r>
      <w:r w:rsidR="00A47BED" w:rsidRPr="006D2160">
        <w:rPr>
          <w:rFonts w:asciiTheme="majorHAnsi" w:hAnsiTheme="majorHAnsi" w:cstheme="majorHAnsi"/>
          <w:sz w:val="20"/>
          <w:szCs w:val="20"/>
        </w:rPr>
        <w:t xml:space="preserve"> pour des projets innovants</w:t>
      </w:r>
      <w:r w:rsidRPr="006D216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A5DB2" w:rsidRPr="00F222BF" w:rsidRDefault="002A5DB2" w:rsidP="00C8137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A5DB2" w:rsidRPr="00F222BF" w:rsidRDefault="002A5DB2" w:rsidP="00C8137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Les feuilles de routes seront recomplét</w:t>
      </w:r>
      <w:r w:rsidR="0094589C" w:rsidRPr="00F222BF">
        <w:rPr>
          <w:rFonts w:asciiTheme="majorHAnsi" w:hAnsiTheme="majorHAnsi" w:cstheme="majorHAnsi"/>
          <w:sz w:val="20"/>
          <w:szCs w:val="20"/>
        </w:rPr>
        <w:t>ées</w:t>
      </w:r>
      <w:r w:rsidRPr="00F222BF">
        <w:rPr>
          <w:rFonts w:asciiTheme="majorHAnsi" w:hAnsiTheme="majorHAnsi" w:cstheme="majorHAnsi"/>
          <w:sz w:val="20"/>
          <w:szCs w:val="20"/>
        </w:rPr>
        <w:t xml:space="preserve"> après </w:t>
      </w:r>
      <w:r w:rsidR="0094589C" w:rsidRPr="00F222BF">
        <w:rPr>
          <w:rFonts w:asciiTheme="majorHAnsi" w:hAnsiTheme="majorHAnsi" w:cstheme="majorHAnsi"/>
          <w:sz w:val="20"/>
          <w:szCs w:val="20"/>
        </w:rPr>
        <w:t>les réunions de la ville de Gien.</w:t>
      </w:r>
    </w:p>
    <w:p w:rsidR="0094589C" w:rsidRPr="00F222BF" w:rsidRDefault="0094589C" w:rsidP="00C8137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D3448" w:rsidRPr="006D2160" w:rsidRDefault="006D2160" w:rsidP="006D2160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D2160">
        <w:rPr>
          <w:rFonts w:asciiTheme="majorHAnsi" w:hAnsiTheme="majorHAnsi" w:cstheme="majorHAnsi"/>
          <w:b/>
          <w:sz w:val="20"/>
          <w:szCs w:val="20"/>
        </w:rPr>
        <w:t>Suite de la procédure </w:t>
      </w:r>
    </w:p>
    <w:p w:rsidR="00C571EC" w:rsidRDefault="00C571EC" w:rsidP="00C571EC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D3448" w:rsidRPr="00F222BF" w:rsidRDefault="004D3448" w:rsidP="004D3448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13 décembre </w:t>
      </w:r>
      <w:r w:rsidR="00C571EC">
        <w:rPr>
          <w:rFonts w:asciiTheme="majorHAnsi" w:hAnsiTheme="majorHAnsi" w:cstheme="majorHAnsi"/>
          <w:sz w:val="20"/>
          <w:szCs w:val="20"/>
        </w:rPr>
        <w:t xml:space="preserve">et 17 </w:t>
      </w:r>
      <w:r w:rsidR="00F33450">
        <w:rPr>
          <w:rFonts w:asciiTheme="majorHAnsi" w:hAnsiTheme="majorHAnsi" w:cstheme="majorHAnsi"/>
          <w:sz w:val="20"/>
          <w:szCs w:val="20"/>
        </w:rPr>
        <w:t>janvier</w:t>
      </w:r>
      <w:r w:rsidR="00C571EC">
        <w:rPr>
          <w:rFonts w:asciiTheme="majorHAnsi" w:hAnsiTheme="majorHAnsi" w:cstheme="majorHAnsi"/>
          <w:sz w:val="20"/>
          <w:szCs w:val="20"/>
        </w:rPr>
        <w:t xml:space="preserve"> </w:t>
      </w:r>
      <w:r w:rsidRPr="00F222BF">
        <w:rPr>
          <w:rFonts w:asciiTheme="majorHAnsi" w:hAnsiTheme="majorHAnsi" w:cstheme="majorHAnsi"/>
          <w:sz w:val="20"/>
          <w:szCs w:val="20"/>
        </w:rPr>
        <w:t xml:space="preserve">: </w:t>
      </w:r>
      <w:r w:rsidR="00C571EC">
        <w:rPr>
          <w:rFonts w:asciiTheme="majorHAnsi" w:hAnsiTheme="majorHAnsi" w:cstheme="majorHAnsi"/>
          <w:sz w:val="20"/>
          <w:szCs w:val="20"/>
        </w:rPr>
        <w:t xml:space="preserve">réunions spécifiques sur la </w:t>
      </w:r>
      <w:r w:rsidRPr="00F222BF">
        <w:rPr>
          <w:rFonts w:asciiTheme="majorHAnsi" w:hAnsiTheme="majorHAnsi" w:cstheme="majorHAnsi"/>
          <w:sz w:val="20"/>
          <w:szCs w:val="20"/>
        </w:rPr>
        <w:t>ville de Gien</w:t>
      </w:r>
    </w:p>
    <w:p w:rsidR="004D3448" w:rsidRPr="00F222BF" w:rsidRDefault="00C571EC" w:rsidP="004D3448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222BF">
        <w:rPr>
          <w:rFonts w:asciiTheme="majorHAnsi" w:hAnsiTheme="majorHAnsi" w:cstheme="majorHAnsi"/>
          <w:sz w:val="20"/>
          <w:szCs w:val="20"/>
        </w:rPr>
        <w:t>07 février</w:t>
      </w:r>
      <w:r>
        <w:rPr>
          <w:rFonts w:asciiTheme="majorHAnsi" w:hAnsiTheme="majorHAnsi" w:cstheme="majorHAnsi"/>
          <w:sz w:val="20"/>
          <w:szCs w:val="20"/>
        </w:rPr>
        <w:t xml:space="preserve"> : </w:t>
      </w:r>
      <w:r w:rsidR="004D3448" w:rsidRPr="00F222BF">
        <w:rPr>
          <w:rFonts w:asciiTheme="majorHAnsi" w:hAnsiTheme="majorHAnsi" w:cstheme="majorHAnsi"/>
          <w:sz w:val="20"/>
          <w:szCs w:val="20"/>
        </w:rPr>
        <w:t>COTECH élargi </w:t>
      </w:r>
      <w:r>
        <w:rPr>
          <w:rFonts w:asciiTheme="majorHAnsi" w:hAnsiTheme="majorHAnsi" w:cstheme="majorHAnsi"/>
          <w:sz w:val="20"/>
          <w:szCs w:val="20"/>
        </w:rPr>
        <w:t>sur la</w:t>
      </w:r>
      <w:r w:rsidR="004D3448" w:rsidRPr="00F222BF">
        <w:rPr>
          <w:rFonts w:asciiTheme="majorHAnsi" w:hAnsiTheme="majorHAnsi" w:cstheme="majorHAnsi"/>
          <w:sz w:val="20"/>
          <w:szCs w:val="20"/>
        </w:rPr>
        <w:t xml:space="preserve"> synthèse </w:t>
      </w:r>
      <w:r>
        <w:rPr>
          <w:rFonts w:asciiTheme="majorHAnsi" w:hAnsiTheme="majorHAnsi" w:cstheme="majorHAnsi"/>
          <w:sz w:val="20"/>
          <w:szCs w:val="20"/>
        </w:rPr>
        <w:t>du</w:t>
      </w:r>
      <w:r w:rsidR="004D3448" w:rsidRPr="00F222BF">
        <w:rPr>
          <w:rFonts w:asciiTheme="majorHAnsi" w:hAnsiTheme="majorHAnsi" w:cstheme="majorHAnsi"/>
          <w:sz w:val="20"/>
          <w:szCs w:val="20"/>
        </w:rPr>
        <w:t xml:space="preserve"> travail </w:t>
      </w:r>
      <w:r w:rsidR="00775403">
        <w:rPr>
          <w:rFonts w:asciiTheme="majorHAnsi" w:hAnsiTheme="majorHAnsi" w:cstheme="majorHAnsi"/>
          <w:sz w:val="20"/>
          <w:szCs w:val="20"/>
        </w:rPr>
        <w:t xml:space="preserve">sur </w:t>
      </w:r>
      <w:r w:rsidR="004D3448" w:rsidRPr="00F222BF">
        <w:rPr>
          <w:rFonts w:asciiTheme="majorHAnsi" w:hAnsiTheme="majorHAnsi" w:cstheme="majorHAnsi"/>
          <w:sz w:val="20"/>
          <w:szCs w:val="20"/>
        </w:rPr>
        <w:t>la ville de Gien</w:t>
      </w:r>
    </w:p>
    <w:p w:rsidR="004D3448" w:rsidRPr="00F222BF" w:rsidRDefault="004D3448" w:rsidP="004D344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D3448" w:rsidRPr="00F222BF" w:rsidRDefault="004D3448" w:rsidP="00C8137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sectPr w:rsidR="004D3448" w:rsidRPr="00F2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AE5"/>
    <w:multiLevelType w:val="hybridMultilevel"/>
    <w:tmpl w:val="62061D0A"/>
    <w:lvl w:ilvl="0" w:tplc="3D509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93"/>
    <w:rsid w:val="0003390C"/>
    <w:rsid w:val="000354A4"/>
    <w:rsid w:val="0003751F"/>
    <w:rsid w:val="00073B48"/>
    <w:rsid w:val="000E438E"/>
    <w:rsid w:val="000F1C19"/>
    <w:rsid w:val="00112502"/>
    <w:rsid w:val="00137EF7"/>
    <w:rsid w:val="0016495C"/>
    <w:rsid w:val="00172B27"/>
    <w:rsid w:val="0017442B"/>
    <w:rsid w:val="00177525"/>
    <w:rsid w:val="00240878"/>
    <w:rsid w:val="00272D89"/>
    <w:rsid w:val="002A0244"/>
    <w:rsid w:val="002A5807"/>
    <w:rsid w:val="002A5DB2"/>
    <w:rsid w:val="002B6112"/>
    <w:rsid w:val="002C5892"/>
    <w:rsid w:val="002F4AC0"/>
    <w:rsid w:val="003038A2"/>
    <w:rsid w:val="00305757"/>
    <w:rsid w:val="003058BA"/>
    <w:rsid w:val="003215DA"/>
    <w:rsid w:val="003372DD"/>
    <w:rsid w:val="00355C7F"/>
    <w:rsid w:val="003605EC"/>
    <w:rsid w:val="00367755"/>
    <w:rsid w:val="00375D1F"/>
    <w:rsid w:val="00377FBA"/>
    <w:rsid w:val="00393D10"/>
    <w:rsid w:val="003C01D7"/>
    <w:rsid w:val="003C4865"/>
    <w:rsid w:val="003D7B78"/>
    <w:rsid w:val="003F4511"/>
    <w:rsid w:val="00405664"/>
    <w:rsid w:val="00406069"/>
    <w:rsid w:val="00413E5C"/>
    <w:rsid w:val="00417FA1"/>
    <w:rsid w:val="00420366"/>
    <w:rsid w:val="00421F95"/>
    <w:rsid w:val="00446542"/>
    <w:rsid w:val="0047261B"/>
    <w:rsid w:val="004938B2"/>
    <w:rsid w:val="004B1DBB"/>
    <w:rsid w:val="004B65F9"/>
    <w:rsid w:val="004D3448"/>
    <w:rsid w:val="00503089"/>
    <w:rsid w:val="0050419A"/>
    <w:rsid w:val="005117E1"/>
    <w:rsid w:val="005245F4"/>
    <w:rsid w:val="0054050E"/>
    <w:rsid w:val="00540A1F"/>
    <w:rsid w:val="005465F0"/>
    <w:rsid w:val="00573F96"/>
    <w:rsid w:val="00576EB0"/>
    <w:rsid w:val="005F204F"/>
    <w:rsid w:val="005F386A"/>
    <w:rsid w:val="0060732D"/>
    <w:rsid w:val="006306D7"/>
    <w:rsid w:val="006335E1"/>
    <w:rsid w:val="00634527"/>
    <w:rsid w:val="00643697"/>
    <w:rsid w:val="00646D4F"/>
    <w:rsid w:val="006478CE"/>
    <w:rsid w:val="00662424"/>
    <w:rsid w:val="00674BB9"/>
    <w:rsid w:val="00683D15"/>
    <w:rsid w:val="006B51AD"/>
    <w:rsid w:val="006C693E"/>
    <w:rsid w:val="006D2160"/>
    <w:rsid w:val="006D7DFD"/>
    <w:rsid w:val="00702938"/>
    <w:rsid w:val="00711748"/>
    <w:rsid w:val="00713F7F"/>
    <w:rsid w:val="007333D7"/>
    <w:rsid w:val="00754BB1"/>
    <w:rsid w:val="007623DE"/>
    <w:rsid w:val="0076488F"/>
    <w:rsid w:val="00767893"/>
    <w:rsid w:val="00775403"/>
    <w:rsid w:val="0078346C"/>
    <w:rsid w:val="00793693"/>
    <w:rsid w:val="007B454A"/>
    <w:rsid w:val="007B6C67"/>
    <w:rsid w:val="007D44CA"/>
    <w:rsid w:val="007E01B5"/>
    <w:rsid w:val="007E27C8"/>
    <w:rsid w:val="007F0858"/>
    <w:rsid w:val="00853338"/>
    <w:rsid w:val="0088362E"/>
    <w:rsid w:val="008B2400"/>
    <w:rsid w:val="008B25FC"/>
    <w:rsid w:val="008F1729"/>
    <w:rsid w:val="008F3D3D"/>
    <w:rsid w:val="008F5514"/>
    <w:rsid w:val="009025B6"/>
    <w:rsid w:val="00930D73"/>
    <w:rsid w:val="0094589C"/>
    <w:rsid w:val="009802B3"/>
    <w:rsid w:val="009A2BD9"/>
    <w:rsid w:val="009B6C1B"/>
    <w:rsid w:val="009D1B14"/>
    <w:rsid w:val="009F01CE"/>
    <w:rsid w:val="00A04F21"/>
    <w:rsid w:val="00A06193"/>
    <w:rsid w:val="00A2319B"/>
    <w:rsid w:val="00A23E02"/>
    <w:rsid w:val="00A45C34"/>
    <w:rsid w:val="00A47BED"/>
    <w:rsid w:val="00A62A4B"/>
    <w:rsid w:val="00A724B7"/>
    <w:rsid w:val="00A95319"/>
    <w:rsid w:val="00AC42EF"/>
    <w:rsid w:val="00B047B1"/>
    <w:rsid w:val="00B04E2A"/>
    <w:rsid w:val="00B5650C"/>
    <w:rsid w:val="00B71C2A"/>
    <w:rsid w:val="00B82D8F"/>
    <w:rsid w:val="00BA4CC8"/>
    <w:rsid w:val="00BC406F"/>
    <w:rsid w:val="00BC67B6"/>
    <w:rsid w:val="00BD1D72"/>
    <w:rsid w:val="00BD6642"/>
    <w:rsid w:val="00BF5805"/>
    <w:rsid w:val="00C1036A"/>
    <w:rsid w:val="00C20C5F"/>
    <w:rsid w:val="00C21622"/>
    <w:rsid w:val="00C40A49"/>
    <w:rsid w:val="00C519AE"/>
    <w:rsid w:val="00C571EC"/>
    <w:rsid w:val="00C63820"/>
    <w:rsid w:val="00C70FD1"/>
    <w:rsid w:val="00C81375"/>
    <w:rsid w:val="00CA6CFF"/>
    <w:rsid w:val="00CD6E61"/>
    <w:rsid w:val="00CF4E72"/>
    <w:rsid w:val="00DA6735"/>
    <w:rsid w:val="00DC225A"/>
    <w:rsid w:val="00DD728C"/>
    <w:rsid w:val="00DE6CA1"/>
    <w:rsid w:val="00E305FA"/>
    <w:rsid w:val="00E40352"/>
    <w:rsid w:val="00E6538B"/>
    <w:rsid w:val="00E678B9"/>
    <w:rsid w:val="00E72F5C"/>
    <w:rsid w:val="00E74EF4"/>
    <w:rsid w:val="00E76F4D"/>
    <w:rsid w:val="00E86A7C"/>
    <w:rsid w:val="00EB5C42"/>
    <w:rsid w:val="00F014BA"/>
    <w:rsid w:val="00F14823"/>
    <w:rsid w:val="00F222BF"/>
    <w:rsid w:val="00F31985"/>
    <w:rsid w:val="00F33450"/>
    <w:rsid w:val="00F359D4"/>
    <w:rsid w:val="00F53BF4"/>
    <w:rsid w:val="00F54CA2"/>
    <w:rsid w:val="00F83E3D"/>
    <w:rsid w:val="00F87F15"/>
    <w:rsid w:val="00F966E8"/>
    <w:rsid w:val="00FA7210"/>
    <w:rsid w:val="00FB2DE0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DAFA11-504F-4E48-A5ED-BD8214C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D10"/>
    <w:pPr>
      <w:ind w:left="720"/>
      <w:contextualSpacing/>
    </w:pPr>
  </w:style>
  <w:style w:type="paragraph" w:styleId="Sansinterligne">
    <w:name w:val="No Spacing"/>
    <w:uiPriority w:val="1"/>
    <w:qFormat/>
    <w:rsid w:val="006D7DFD"/>
    <w:pPr>
      <w:spacing w:after="0" w:line="264" w:lineRule="auto"/>
    </w:pPr>
    <w:rPr>
      <w:color w:val="595959" w:themeColor="text1" w:themeTint="A6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Mélody BARBET</dc:creator>
  <cp:keywords/>
  <dc:description/>
  <cp:lastModifiedBy>Mélody BARBET</cp:lastModifiedBy>
  <cp:revision>157</cp:revision>
  <cp:lastPrinted>2018-12-10T07:30:00Z</cp:lastPrinted>
  <dcterms:created xsi:type="dcterms:W3CDTF">2018-11-29T13:09:00Z</dcterms:created>
  <dcterms:modified xsi:type="dcterms:W3CDTF">2018-12-21T15:28:00Z</dcterms:modified>
</cp:coreProperties>
</file>